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5302FD" w14:textId="54C3B18D"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7000D4">
        <w:rPr>
          <w:rFonts w:ascii="Calibri" w:hAnsi="Calibri"/>
        </w:rPr>
        <w:t>ENAV2</w:t>
      </w:r>
      <w:r w:rsidR="00E41AA6">
        <w:rPr>
          <w:rFonts w:ascii="Calibri" w:hAnsi="Calibri"/>
        </w:rPr>
        <w:t>4</w:t>
      </w:r>
      <w:r w:rsidRPr="007A395D">
        <w:rPr>
          <w:rFonts w:ascii="Calibri" w:hAnsi="Calibri"/>
        </w:rPr>
        <w:t>-</w:t>
      </w:r>
      <w:r w:rsidR="00343CA9">
        <w:rPr>
          <w:rFonts w:ascii="Calibri" w:hAnsi="Calibri"/>
        </w:rPr>
        <w:t>6.1.6</w:t>
      </w:r>
    </w:p>
    <w:p w14:paraId="5A14DE03" w14:textId="77777777" w:rsidR="00BF32F0" w:rsidRPr="007A395D" w:rsidRDefault="00BF32F0" w:rsidP="00285313">
      <w:pPr>
        <w:pStyle w:val="BodyText"/>
      </w:pPr>
    </w:p>
    <w:p w14:paraId="22E94D0E" w14:textId="77777777" w:rsidR="00D019CE" w:rsidRPr="007A395D" w:rsidRDefault="00D019CE" w:rsidP="00285313">
      <w:pPr>
        <w:pStyle w:val="BodyText"/>
      </w:pPr>
    </w:p>
    <w:p w14:paraId="370CFB53" w14:textId="0056C39C" w:rsidR="0080294B" w:rsidRPr="007A395D" w:rsidRDefault="00E558C3" w:rsidP="00285313">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506B2E37" w:rsidR="0080294B" w:rsidRPr="007A395D" w:rsidRDefault="0080294B" w:rsidP="00285313">
      <w:pPr>
        <w:pStyle w:val="BodyText"/>
        <w:rPr>
          <w:b/>
        </w:rPr>
      </w:pPr>
      <w:proofErr w:type="gramStart"/>
      <w:r w:rsidRPr="007A395D">
        <w:rPr>
          <w:b/>
        </w:rPr>
        <w:t>□</w:t>
      </w:r>
      <w:r w:rsidRPr="007A395D">
        <w:t xml:space="preserve">  ARM</w:t>
      </w:r>
      <w:proofErr w:type="gramEnd"/>
      <w:r w:rsidR="00037DF4" w:rsidRPr="007A395D">
        <w:tab/>
      </w:r>
      <w:r w:rsidR="00343CA9">
        <w:tab/>
      </w:r>
      <w:r w:rsidRPr="007A395D">
        <w:rPr>
          <w:b/>
        </w:rPr>
        <w:t>□</w:t>
      </w:r>
      <w:r w:rsidRPr="007A395D">
        <w:t xml:space="preserve">  ENG</w:t>
      </w:r>
      <w:r w:rsidRPr="007A395D">
        <w:tab/>
      </w:r>
      <w:r w:rsidRPr="007A395D">
        <w:tab/>
      </w:r>
      <w:r w:rsidRPr="007A395D">
        <w:rPr>
          <w:b/>
        </w:rPr>
        <w:t>□</w:t>
      </w:r>
      <w:r w:rsidRPr="007A395D">
        <w:t xml:space="preserve">  PAP</w:t>
      </w:r>
      <w:r w:rsidRPr="007A395D">
        <w:tab/>
      </w:r>
      <w:r w:rsidRPr="007A395D">
        <w:tab/>
      </w:r>
      <w:r w:rsidR="00037DF4" w:rsidRPr="007A395D">
        <w:tab/>
      </w:r>
      <w:r w:rsidR="00037DF4" w:rsidRPr="007A395D">
        <w:tab/>
      </w:r>
      <w:r w:rsidR="00037DF4" w:rsidRPr="007A395D">
        <w:tab/>
      </w:r>
      <w:r w:rsidR="00343CA9">
        <w:tab/>
      </w:r>
      <w:r w:rsidR="00343CA9">
        <w:tab/>
      </w:r>
      <w:r w:rsidR="00285313">
        <w:rPr>
          <w:b/>
        </w:rPr>
        <w:t>x</w:t>
      </w:r>
      <w:r w:rsidRPr="007A395D">
        <w:t xml:space="preserve">  Input</w:t>
      </w:r>
    </w:p>
    <w:p w14:paraId="0BC79547" w14:textId="3AD8C6B4" w:rsidR="0080294B" w:rsidRPr="007A395D" w:rsidRDefault="00E41AA6" w:rsidP="00285313">
      <w:pPr>
        <w:pStyle w:val="BodyText"/>
      </w:pPr>
      <w:proofErr w:type="gramStart"/>
      <w:r>
        <w:rPr>
          <w:b/>
        </w:rPr>
        <w:t>x</w:t>
      </w:r>
      <w:r w:rsidR="0080294B" w:rsidRPr="007A395D">
        <w:t xml:space="preserve">  ENAV</w:t>
      </w:r>
      <w:proofErr w:type="gramEnd"/>
      <w:r w:rsidR="00343CA9">
        <w:tab/>
      </w:r>
      <w:r w:rsidR="0080294B" w:rsidRPr="007A395D">
        <w:rPr>
          <w:b/>
        </w:rPr>
        <w:tab/>
        <w:t>□</w:t>
      </w:r>
      <w:r w:rsidR="0080294B" w:rsidRPr="007A395D">
        <w:t xml:space="preserve">  </w:t>
      </w:r>
      <w:r w:rsidR="003D2DC1" w:rsidRPr="007A395D">
        <w:t>VTS</w:t>
      </w:r>
      <w:r w:rsidR="0080294B" w:rsidRPr="007A395D">
        <w:tab/>
      </w:r>
      <w:r w:rsidR="0080294B" w:rsidRPr="007A395D">
        <w:tab/>
      </w:r>
      <w:r w:rsidR="0080294B" w:rsidRPr="007A395D">
        <w:tab/>
      </w:r>
      <w:r w:rsidR="0080294B" w:rsidRPr="007A395D">
        <w:tab/>
      </w:r>
      <w:r w:rsidR="0080294B" w:rsidRPr="007A395D">
        <w:tab/>
      </w:r>
      <w:r w:rsidR="00037DF4" w:rsidRPr="007A395D">
        <w:tab/>
      </w:r>
      <w:r w:rsidR="00037DF4" w:rsidRPr="007A395D">
        <w:tab/>
      </w:r>
      <w:r w:rsidR="00343CA9">
        <w:tab/>
      </w:r>
      <w:r w:rsidR="00343CA9">
        <w:tab/>
      </w:r>
      <w:r w:rsidR="0080294B" w:rsidRPr="007A395D">
        <w:rPr>
          <w:b/>
        </w:rPr>
        <w:t>□</w:t>
      </w:r>
      <w:r w:rsidR="0080294B" w:rsidRPr="007A395D">
        <w:t xml:space="preserve">  Information</w:t>
      </w:r>
    </w:p>
    <w:p w14:paraId="3E1C02C4" w14:textId="77777777" w:rsidR="0080294B" w:rsidRPr="007A395D" w:rsidRDefault="0080294B" w:rsidP="00285313">
      <w:pPr>
        <w:pStyle w:val="BodyText"/>
      </w:pPr>
    </w:p>
    <w:p w14:paraId="4DD25FD9" w14:textId="43B3E917" w:rsidR="00A446C9" w:rsidRPr="007A395D" w:rsidRDefault="00A446C9" w:rsidP="00285313">
      <w:pPr>
        <w:pStyle w:val="BodyText"/>
      </w:pPr>
      <w:r w:rsidRPr="007A395D">
        <w:t>Agenda item</w:t>
      </w:r>
      <w:r w:rsidR="00037DF4" w:rsidRPr="007A395D">
        <w:t xml:space="preserve"> </w:t>
      </w:r>
      <w:r w:rsidR="00037DF4" w:rsidRPr="007A395D">
        <w:rPr>
          <w:rStyle w:val="FootnoteReference"/>
          <w:rFonts w:ascii="Calibri" w:hAnsi="Calibri"/>
          <w:sz w:val="22"/>
          <w:vertAlign w:val="superscript"/>
        </w:rPr>
        <w:footnoteReference w:id="2"/>
      </w:r>
      <w:r w:rsidR="001C44A3" w:rsidRPr="007A395D">
        <w:tab/>
      </w:r>
      <w:r w:rsidR="0080294B" w:rsidRPr="007A395D">
        <w:tab/>
      </w:r>
      <w:r w:rsidR="0080294B" w:rsidRPr="007A395D">
        <w:tab/>
      </w:r>
      <w:r w:rsidR="00343CA9">
        <w:tab/>
        <w:t>6</w:t>
      </w:r>
      <w:bookmarkStart w:id="0" w:name="_GoBack"/>
      <w:bookmarkEnd w:id="0"/>
    </w:p>
    <w:p w14:paraId="1AB3E246" w14:textId="6BDE76DC" w:rsidR="00A446C9" w:rsidRPr="007A395D" w:rsidRDefault="0080294B" w:rsidP="00285313">
      <w:pPr>
        <w:pStyle w:val="BodyText"/>
      </w:pPr>
      <w:r w:rsidRPr="007A395D">
        <w:t xml:space="preserve">Technical Domain / </w:t>
      </w:r>
      <w:r w:rsidR="00A446C9" w:rsidRPr="007A395D">
        <w:t>Task Number</w:t>
      </w:r>
      <w:r w:rsidR="00037DF4" w:rsidRPr="007A395D">
        <w:t xml:space="preserve"> </w:t>
      </w:r>
      <w:r w:rsidR="00037DF4" w:rsidRPr="007A395D">
        <w:rPr>
          <w:vertAlign w:val="superscript"/>
        </w:rPr>
        <w:t>2</w:t>
      </w:r>
      <w:r w:rsidR="001C44A3" w:rsidRPr="007A395D">
        <w:tab/>
      </w:r>
      <w:r w:rsidRPr="007A395D">
        <w:t>…………………………………</w:t>
      </w:r>
    </w:p>
    <w:p w14:paraId="01FC5420" w14:textId="0ED1D7E1" w:rsidR="00362CD9" w:rsidRPr="007A395D" w:rsidRDefault="00362CD9" w:rsidP="00285313">
      <w:pPr>
        <w:pStyle w:val="BodyText"/>
        <w:rPr>
          <w:color w:val="FF0000"/>
        </w:rPr>
      </w:pPr>
      <w:r w:rsidRPr="007A395D">
        <w:t>Author(s)</w:t>
      </w:r>
      <w:r w:rsidR="00FE5674" w:rsidRPr="007A395D">
        <w:t xml:space="preserve"> / Submitter(s)</w:t>
      </w:r>
      <w:r w:rsidRPr="007A395D">
        <w:tab/>
      </w:r>
      <w:r w:rsidR="0080294B" w:rsidRPr="007A395D">
        <w:tab/>
      </w:r>
      <w:r w:rsidR="0080294B" w:rsidRPr="007A395D">
        <w:tab/>
      </w:r>
      <w:proofErr w:type="spellStart"/>
      <w:r w:rsidR="00285313">
        <w:t>Sibylle</w:t>
      </w:r>
      <w:proofErr w:type="spellEnd"/>
      <w:r w:rsidR="00285313">
        <w:t xml:space="preserve"> </w:t>
      </w:r>
      <w:proofErr w:type="spellStart"/>
      <w:r w:rsidR="00285313">
        <w:t>Fröschle</w:t>
      </w:r>
      <w:proofErr w:type="spellEnd"/>
      <w:r w:rsidR="00285313">
        <w:t>, Ax</w:t>
      </w:r>
      <w:r w:rsidR="005D7CF0">
        <w:t>e</w:t>
      </w:r>
      <w:r w:rsidR="00285313">
        <w:t xml:space="preserve">l Hahn, Julius </w:t>
      </w:r>
      <w:proofErr w:type="spellStart"/>
      <w:r w:rsidR="00285313">
        <w:t>Möller</w:t>
      </w:r>
      <w:proofErr w:type="spellEnd"/>
      <w:r w:rsidR="00094391">
        <w:t xml:space="preserve">, </w:t>
      </w:r>
      <w:proofErr w:type="spellStart"/>
      <w:r w:rsidR="00094391" w:rsidRPr="00343CA9">
        <w:t>Jin</w:t>
      </w:r>
      <w:proofErr w:type="spellEnd"/>
      <w:r w:rsidR="00094391" w:rsidRPr="00343CA9">
        <w:t xml:space="preserve"> H. Park</w:t>
      </w:r>
    </w:p>
    <w:p w14:paraId="60BCC120" w14:textId="77777777" w:rsidR="0080294B" w:rsidRPr="007A395D" w:rsidRDefault="0080294B" w:rsidP="00285313">
      <w:pPr>
        <w:pStyle w:val="BodyText"/>
      </w:pPr>
    </w:p>
    <w:p w14:paraId="4834080C" w14:textId="3C9867D7" w:rsidR="00A446C9" w:rsidRPr="00605E43" w:rsidRDefault="00285313" w:rsidP="00A446C9">
      <w:pPr>
        <w:pStyle w:val="Title"/>
        <w:rPr>
          <w:rFonts w:ascii="Calibri" w:hAnsi="Calibri"/>
          <w:color w:val="0070C0"/>
        </w:rPr>
      </w:pPr>
      <w:bookmarkStart w:id="1" w:name="_Hlk19104373"/>
      <w:r>
        <w:rPr>
          <w:rFonts w:ascii="Calibri" w:hAnsi="Calibri"/>
          <w:color w:val="0070C0"/>
        </w:rPr>
        <w:t>Secure IP based communication for MSI (S-124)</w:t>
      </w:r>
    </w:p>
    <w:bookmarkEnd w:id="1"/>
    <w:p w14:paraId="0F258596" w14:textId="50FB6E37" w:rsidR="00A446C9" w:rsidRPr="00605E43" w:rsidRDefault="00A446C9" w:rsidP="00605E43">
      <w:pPr>
        <w:pStyle w:val="Heading1"/>
      </w:pPr>
      <w:r w:rsidRPr="00605E43">
        <w:t>Summary</w:t>
      </w:r>
    </w:p>
    <w:p w14:paraId="2D829213" w14:textId="77777777" w:rsidR="00BD4E6F" w:rsidRPr="00285313" w:rsidRDefault="00BD4E6F" w:rsidP="00285313">
      <w:pPr>
        <w:pStyle w:val="BodyText"/>
      </w:pPr>
      <w:r w:rsidRPr="007A395D">
        <w:t>Give a brief description of the content of the paper.</w:t>
      </w:r>
    </w:p>
    <w:p w14:paraId="3C575A26" w14:textId="77777777" w:rsidR="001C44A3" w:rsidRPr="00605E43" w:rsidRDefault="00BD4E6F" w:rsidP="00605E43">
      <w:pPr>
        <w:pStyle w:val="Heading2"/>
      </w:pPr>
      <w:r w:rsidRPr="00605E43">
        <w:t>Purpose</w:t>
      </w:r>
      <w:r w:rsidR="004D1D85" w:rsidRPr="00605E43">
        <w:t xml:space="preserve"> of the document</w:t>
      </w:r>
    </w:p>
    <w:p w14:paraId="7E2A4642" w14:textId="17D93424" w:rsidR="00E55927" w:rsidRPr="007A395D" w:rsidRDefault="006A7FE9" w:rsidP="00285313">
      <w:pPr>
        <w:pStyle w:val="BodyText"/>
      </w:pPr>
      <w:r>
        <w:t xml:space="preserve">This paper describes the usage for the online service concept for Maritime Safety Information (MSI). It is intended for information of the ENAV 24 committee member and shall be send as a note to the IHO as IALA input for the discussion and definition of the S-124 product specification </w:t>
      </w:r>
      <w:r w:rsidR="005D7CF0">
        <w:t xml:space="preserve">as </w:t>
      </w:r>
      <w:r>
        <w:t xml:space="preserve">one suitable way for lightweight provision of MSI. </w:t>
      </w:r>
    </w:p>
    <w:p w14:paraId="36D645BE" w14:textId="77777777" w:rsidR="00B56BDF" w:rsidRPr="007A395D" w:rsidRDefault="00B56BDF" w:rsidP="00605E43">
      <w:pPr>
        <w:pStyle w:val="Heading2"/>
      </w:pPr>
      <w:r w:rsidRPr="007A395D">
        <w:t>Related documents</w:t>
      </w:r>
    </w:p>
    <w:p w14:paraId="553E55ED" w14:textId="73CAC39A" w:rsidR="00E55927" w:rsidRDefault="006A7FE9" w:rsidP="00285313">
      <w:pPr>
        <w:pStyle w:val="BodyText"/>
      </w:pPr>
      <w:r>
        <w:t>S-100 Standard</w:t>
      </w:r>
    </w:p>
    <w:p w14:paraId="44BEEB13" w14:textId="5652077A" w:rsidR="006A7FE9" w:rsidRPr="007A395D" w:rsidRDefault="006A7FE9" w:rsidP="00285313">
      <w:pPr>
        <w:pStyle w:val="BodyText"/>
      </w:pPr>
      <w:r>
        <w:t>I</w:t>
      </w:r>
      <w:r w:rsidR="00F15F46">
        <w:t>ALA</w:t>
      </w:r>
      <w:r>
        <w:t xml:space="preserve"> Guid</w:t>
      </w:r>
      <w:r w:rsidR="005D7CF0">
        <w:t>e</w:t>
      </w:r>
      <w:r>
        <w:t>line 1128 Specification of Technical Services</w:t>
      </w:r>
    </w:p>
    <w:p w14:paraId="7A8D2F27" w14:textId="77777777" w:rsidR="00A446C9" w:rsidRPr="007A395D" w:rsidRDefault="00A446C9" w:rsidP="00605E43">
      <w:pPr>
        <w:pStyle w:val="Heading1"/>
      </w:pPr>
      <w:r w:rsidRPr="007A395D">
        <w:t>Action requested of the Committee</w:t>
      </w:r>
    </w:p>
    <w:p w14:paraId="1556E528" w14:textId="73F44857" w:rsidR="00F25BF4" w:rsidRPr="007A395D" w:rsidRDefault="00F25BF4" w:rsidP="00285313">
      <w:pPr>
        <w:pStyle w:val="BodyText"/>
      </w:pPr>
      <w:r w:rsidRPr="007A395D">
        <w:t>The Committee is requested to:</w:t>
      </w:r>
    </w:p>
    <w:p w14:paraId="41A1E375" w14:textId="34EBA628" w:rsidR="00F25BF4" w:rsidRPr="007A395D" w:rsidRDefault="00CD2F5C" w:rsidP="00362CD9">
      <w:pPr>
        <w:pStyle w:val="List1"/>
        <w:numPr>
          <w:ilvl w:val="0"/>
          <w:numId w:val="39"/>
        </w:numPr>
        <w:rPr>
          <w:rFonts w:ascii="Calibri" w:hAnsi="Calibri"/>
        </w:rPr>
      </w:pPr>
      <w:r>
        <w:rPr>
          <w:rFonts w:ascii="Calibri" w:hAnsi="Calibri"/>
        </w:rPr>
        <w:t>Take note of the input paper</w:t>
      </w:r>
    </w:p>
    <w:p w14:paraId="7A9FD49F" w14:textId="4E18AA18" w:rsidR="00F25BF4" w:rsidRDefault="00CD2F5C" w:rsidP="00F25BF4">
      <w:pPr>
        <w:pStyle w:val="List1"/>
        <w:rPr>
          <w:rFonts w:ascii="Calibri" w:hAnsi="Calibri"/>
        </w:rPr>
      </w:pPr>
      <w:r>
        <w:rPr>
          <w:rFonts w:ascii="Calibri" w:hAnsi="Calibri"/>
        </w:rPr>
        <w:t>Prepare a liaison note to IHO S-124 product specification team.</w:t>
      </w:r>
    </w:p>
    <w:p w14:paraId="7260EC0A" w14:textId="0C8BAEAA" w:rsidR="00E41AA6" w:rsidRDefault="00285313" w:rsidP="00285313">
      <w:pPr>
        <w:pStyle w:val="Heading1"/>
      </w:pPr>
      <w:r>
        <w:t>I</w:t>
      </w:r>
      <w:r w:rsidR="00E41AA6">
        <w:t>ntroduction</w:t>
      </w:r>
    </w:p>
    <w:p w14:paraId="0735CBC5" w14:textId="77777777" w:rsidR="00E41AA6" w:rsidRDefault="00E41AA6" w:rsidP="00285313">
      <w:pPr>
        <w:pStyle w:val="BodyText"/>
      </w:pPr>
      <w:r>
        <w:t xml:space="preserve">The maritime industry is a big sector of today’s economy. Thousands of vessels are constantly underway in inland waterways, coastal waters or the open sea. To sail within their environment safely there is a continuous need for communication. This could be for example communication with surrounding vessels for collision avoidance, contacting vessel traffic operators in port areas, obtaining weather data for the planned route or receiving navigational warnings to name only a small selection. </w:t>
      </w:r>
    </w:p>
    <w:p w14:paraId="35D6E815" w14:textId="439A289A" w:rsidR="00E41AA6" w:rsidRDefault="00E41AA6" w:rsidP="00285313">
      <w:pPr>
        <w:pStyle w:val="BodyText"/>
      </w:pPr>
      <w:r>
        <w:t xml:space="preserve">Until now most of these processes and services use several different types of communication channels </w:t>
      </w:r>
      <w:r>
        <w:fldChar w:fldCharType="begin"/>
      </w:r>
      <w:r>
        <w:instrText xml:space="preserve"> ADDIN ZOTERO_ITEM CSL_CITATION {"citationID":"lXKyryUJ","properties":{"formattedCitation":"[1]","plainCitation":"[1]","noteIndex":0},"citationItems":[{"id":177,"uris":["http://zotero.org/users/5690609/items/8MBMNVHV"],"uri":["http://zotero.org/users/5690609/items/8MBMNVHV"],"itemData":{"id":177,"type":"article-journal","title":"Emerging maritime communications technologies","source":"ResearchGate","abstract":"Current maritime systems are to a large extent based on legacy analog VHF radios for ship-to-shore communications near port waters, and relatively low bandwidth digital satellite communications (SatCom) for long-range ship-to-ship and ship-to-shore communications. The cost of bandwidth for SatCom networks is expected to remain high due to the cost of launching satellites into orbit and also due to the stabilizers required for presently available on-board antennas. On the other hand, the legacy VHF system comprises low bandwidth radios incapable of supporting applications requiring high data rates. Unlike the terrestrial net-works, advancement in maritime networks is severely lagging behind its land counterpart. MARINTEK is the principle investigator of the MarCom project, a joint initiative between several national and international R&amp;D institutions, Universities and Colleges, Public Authorities and Industry, funded by the industry itself and The Norwegian Research Council's MAROFF program, and aiming at developing a novel digital communication system platform to ensure the proliferation of innovative mobile network applications presently being widely implemented on land-based wireless systems.","DOI":"10.1109/ITST.2009.5399329","author":[{"family":"Bekkadal","given":"Fritz"}],"issued":{"date-parts":[["2009",10,1]]}}}],"schema":"https://github.com/citation-style-language/schema/raw/master/csl-citation.json"} </w:instrText>
      </w:r>
      <w:r>
        <w:fldChar w:fldCharType="separate"/>
      </w:r>
      <w:r w:rsidRPr="0034467B">
        <w:t>[1]</w:t>
      </w:r>
      <w:r>
        <w:fldChar w:fldCharType="end"/>
      </w:r>
      <w:r>
        <w:t xml:space="preserve">. Often the way of obtaining the above-mentioned information can also differ depending on the location of the services.  This makes the acquisition of relevant information more difficult in many situations. Especially </w:t>
      </w:r>
      <w:r>
        <w:lastRenderedPageBreak/>
        <w:t>safety-relevant data can be a problem when using unsecure</w:t>
      </w:r>
      <w:r w:rsidR="005D7CF0">
        <w:t>d</w:t>
      </w:r>
      <w:r>
        <w:t xml:space="preserve"> communication methods, in which the validity and the propriety of the data cannot be verified. </w:t>
      </w:r>
    </w:p>
    <w:p w14:paraId="10924B38" w14:textId="02B1FF41" w:rsidR="00E41AA6" w:rsidRDefault="00E41AA6" w:rsidP="00285313">
      <w:pPr>
        <w:pStyle w:val="BodyText"/>
      </w:pPr>
      <w:r w:rsidRPr="00B55E5D">
        <w:t>The</w:t>
      </w:r>
      <w:r>
        <w:rPr>
          <w:b/>
          <w:bCs/>
        </w:rPr>
        <w:t xml:space="preserve"> </w:t>
      </w:r>
      <w:r w:rsidRPr="00EC21BD">
        <w:rPr>
          <w:b/>
          <w:bCs/>
        </w:rPr>
        <w:t>Maritime Safe</w:t>
      </w:r>
      <w:r>
        <w:rPr>
          <w:b/>
          <w:bCs/>
        </w:rPr>
        <w:t>ty</w:t>
      </w:r>
      <w:r w:rsidRPr="00EC21BD">
        <w:rPr>
          <w:b/>
          <w:bCs/>
        </w:rPr>
        <w:t xml:space="preserve"> Information </w:t>
      </w:r>
      <w:r w:rsidRPr="005667C0">
        <w:rPr>
          <w:b/>
          <w:bCs/>
        </w:rPr>
        <w:t>(MSI) Service</w:t>
      </w:r>
      <w:r>
        <w:t xml:space="preserve"> is a GMDSS service for providing information which is needed for safe navigation of vessels </w:t>
      </w:r>
      <w:r>
        <w:fldChar w:fldCharType="begin"/>
      </w:r>
      <w:r>
        <w:instrText xml:space="preserve"> ADDIN ZOTERO_ITEM CSL_CITATION {"citationID":"Ywr5aRk7","properties":{"formattedCitation":"[2]","plainCitation":"[2]","noteIndex":0},"citationItems":[{"id":194,"uris":["http://zotero.org/users/5690609/items/UP9JKPIT"],"uri":["http://zotero.org/users/5690609/items/UP9JKPIT"],"itemData":{"id":194,"type":"article","title":"Resolution A.705(17) - Promulgation of Maritime Safety Information","publisher":"International Maritime Organization","URL":"http://www.imo.org/en/KnowledgeCentre/IndexofIMOResolutions/Assembly/Documents/A.705(17).pdf","issued":{"date-parts":[["1991",11,6]]}}}],"schema":"https://github.com/citation-style-language/schema/raw/master/csl-citation.json"} </w:instrText>
      </w:r>
      <w:r>
        <w:fldChar w:fldCharType="separate"/>
      </w:r>
      <w:r w:rsidRPr="00F02FE8">
        <w:t>[2]</w:t>
      </w:r>
      <w:r>
        <w:fldChar w:fldCharType="end"/>
      </w:r>
      <w:r>
        <w:t>. It is a good example for a set of data that needs to be distributed to vessels frequently with a service-bound communication-path: The service is currently realized e.g. by a specific terrestrial (NAVTEX) as well as a satellite (</w:t>
      </w:r>
      <w:proofErr w:type="spellStart"/>
      <w:r>
        <w:t>SafetyNET</w:t>
      </w:r>
      <w:proofErr w:type="spellEnd"/>
      <w:r>
        <w:t xml:space="preserve">) communication channel </w:t>
      </w:r>
      <w:r>
        <w:fldChar w:fldCharType="begin"/>
      </w:r>
      <w:r>
        <w:instrText xml:space="preserve"> ADDIN ZOTERO_ITEM CSL_CITATION {"citationID":"hStk2WL1","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r>
        <w:t>. Actually there is no established mechanism to ensure cyber security.</w:t>
      </w:r>
    </w:p>
    <w:p w14:paraId="575C51CC" w14:textId="77777777" w:rsidR="00E41AA6" w:rsidRDefault="00E41AA6" w:rsidP="00285313">
      <w:pPr>
        <w:pStyle w:val="BodyText"/>
      </w:pPr>
      <w:r>
        <w:t xml:space="preserve">Contrarily, a development of new communication technologies for the maritime sector could be observed in the past years: IP-based technologies are increasingly rolled out and made available to the end-user. </w:t>
      </w:r>
      <w:r w:rsidRPr="00627FBE">
        <w:rPr>
          <w:b/>
          <w:bCs/>
        </w:rPr>
        <w:t>Low Earth Orbit</w:t>
      </w:r>
      <w:r>
        <w:t xml:space="preserve"> (LEO) Satellite Networks, who can provide real-time IP-based communication </w:t>
      </w:r>
      <w:r>
        <w:fldChar w:fldCharType="begin"/>
      </w:r>
      <w:r>
        <w:instrText xml:space="preserve"> ADDIN ZOTERO_ITEM CSL_CITATION {"citationID":"Cu3xbzsl","properties":{"formattedCitation":"[4]","plainCitation":"[4]","noteIndex":0},"citationItems":[{"id":181,"uris":["http://zotero.org/users/5690609/items/9R4B7SQU"],"uri":["http://zotero.org/users/5690609/items/9R4B7SQU"],"itemData":{"id":181,"type":"webpage","title":"Low earth orbit satellite systems for communications","container-title":"International Journal of Satellite Communications","URL":"https://onlinelibrary.wiley.com/doi/abs/10.1002/sat.4600090403","note":"DOI: 10.1002/sat.4600090403","language":"en","author":[{"family":"Maral","given":"Gérard"},{"family":"Ridder","given":"Jean-Jacques","dropping-particle":"de"},{"family":"Evans","given":"Barry G."},{"family":"Richharia","given":"Madhavendra"}],"issued":{"date-parts":[["1991",7,1]]},"accessed":{"date-parts":[["2019",7,8]]}}}],"schema":"https://github.com/citation-style-language/schema/raw/master/csl-citation.json"} </w:instrText>
      </w:r>
      <w:r>
        <w:fldChar w:fldCharType="separate"/>
      </w:r>
      <w:r w:rsidRPr="00F02FE8">
        <w:t>[4]</w:t>
      </w:r>
      <w:r>
        <w:fldChar w:fldCharType="end"/>
      </w:r>
      <w:r>
        <w:t xml:space="preserve"> are currently emerging and are expected to find applications in several areas </w:t>
      </w:r>
      <w:r>
        <w:fldChar w:fldCharType="begin"/>
      </w:r>
      <w:r>
        <w:instrText xml:space="preserve"> ADDIN ZOTERO_ITEM CSL_CITATION {"citationID":"32mIyhsH","properties":{"formattedCitation":"[5]","plainCitation":"[5]","noteIndex":0},"citationItems":[{"id":183,"uris":["http://zotero.org/users/5690609/items/K65SXXN7"],"uri":["http://zotero.org/users/5690609/items/K65SXXN7"],"itemData":{"id":183,"type":"article-journal","title":"Supporting IP/LEO Satellite Networks by Handover-Independent IP Mobility Management","container-title":"Selected Areas in Communications, IEEE Journal on","page":"300-307","volume":"22","source":"ResearchGate","abstract":"Low earth orbit (LEO) satellite networks are capable of providing wireless connectivity to any part of the world while guaranteeing short propagation delays. There is a huge need for developing Internet protocol (IP) friendly networking technologies that aim to integrate emerging LEO satellite networks with the already existing terrestrial IP networks. LEO satellite networks are well characterized by frequent handover occurrences. These handovers largely affect mobility management in LEO satellite networks. Existing IP mobility management protocols, such as mobile IP, manage the location of mobile nodes on the basis of the network topology. Applying such mechanisms in LEO satellite networks will cause a binding update of mobile nodes upon every handover occurrence. Given the frequent occurrence of handovers in LEO satellite networks, a potentially large number of binding update requests will be generated and ultimately affects the scalability of mobility management. This paper argues a handover-independent mobility management scheme for LEO satellite networks. The proposed scheme purposes to exploit geographical location information to make the mobility management independent from handovers. This handover-independent management method reduces the number of update requests and eventually increases the system scalability. A detailed description of the actual implementation of the scheme is given. Through a mathematical analysis, the paper evaluates the required management cost and accordingly verifies the scalability of the proposed scheme.","DOI":"10.1109/JSAC.2003.819977","journalAbbreviation":"Selected Areas in Communications, IEEE Journal on","author":[{"family":"Tsunoda","given":"Hiroshi"},{"family":"Ohta","given":"Kohei"},{"family":"Kato","given":"Nei"},{"family":"Nemoto","given":"Yoshiaki"}],"issued":{"date-parts":[["2004",3,1]]}}}],"schema":"https://github.com/citation-style-language/schema/raw/master/csl-citation.json"} </w:instrText>
      </w:r>
      <w:r>
        <w:fldChar w:fldCharType="separate"/>
      </w:r>
      <w:r w:rsidRPr="00F02FE8">
        <w:t>[5]</w:t>
      </w:r>
      <w:r>
        <w:fldChar w:fldCharType="end"/>
      </w:r>
      <w:r>
        <w:t xml:space="preserve">. Also terrestrial technologies like </w:t>
      </w:r>
      <w:r w:rsidRPr="00627FBE">
        <w:rPr>
          <w:b/>
          <w:bCs/>
        </w:rPr>
        <w:t>LTE</w:t>
      </w:r>
      <w:r>
        <w:t xml:space="preserve"> are expected to play an important role for the maritime industry in the future </w:t>
      </w:r>
      <w:r>
        <w:fldChar w:fldCharType="begin"/>
      </w:r>
      <w:r>
        <w:instrText xml:space="preserve"> ADDIN ZOTERO_ITEM CSL_CITATION {"citationID":"J7slxFOC","properties":{"formattedCitation":"[6]","plainCitation":"[6]","noteIndex":0},"citationItems":[{"id":186,"uris":["http://zotero.org/users/5690609/items/N8PUG3DT"],"uri":["http://zotero.org/users/5690609/items/N8PUG3DT"],"itemData":{"id":186,"type":"article-journal","title":"Next generation maritime communication systems","container-title":"IJMC","page":"231-248","volume":"3","source":"ResearchGate","abstract":"In this paper, we discuss scenarios for the use of modern wireless telecommunication systems and related services in the maritime domain. The impressive development of the wireless telecommunications, along with areas like mobile/wireless computing, pervasive computing and context aware and location-based services has stimulated our interest in onboard application of such technologies to further facilitate crew communication and tasks to support different activities of the passengers on board. After presenting the relevant technical developments, we present our view of the maritime telecommunications infrastructure of the near future and we try to provide suggestions for achieving the vision of ubiquity and universality in maritime communication systems.","DOI":"10.1504/IJMC.2005.006582","journalAbbreviation":"IJMC","author":[{"family":"Maglogiannis","given":"Ilias"},{"family":"Hadjiefthymiades","given":"Stathes"},{"family":"Panagiotarakis","given":"Nikos"},{"family":"Hartigan","given":"Patrick"}],"issued":{"date-parts":[["2005",1,1]]}}}],"schema":"https://github.com/citation-style-language/schema/raw/master/csl-citation.json"} </w:instrText>
      </w:r>
      <w:r>
        <w:fldChar w:fldCharType="separate"/>
      </w:r>
      <w:r w:rsidRPr="00F02FE8">
        <w:t>[6]</w:t>
      </w:r>
      <w:r>
        <w:fldChar w:fldCharType="end"/>
      </w:r>
      <w:r>
        <w:t xml:space="preserve">.  In addition to that, satellite providers like Inmarsat are going to launch broadband IP services that will be part of the well-known </w:t>
      </w:r>
      <w:r w:rsidRPr="00627FBE">
        <w:rPr>
          <w:b/>
          <w:bCs/>
        </w:rPr>
        <w:t>Global Maritime Distress and Safety System</w:t>
      </w:r>
      <w:r>
        <w:t xml:space="preserve"> (GMDSS) in the near future </w:t>
      </w:r>
      <w:r>
        <w:fldChar w:fldCharType="begin"/>
      </w:r>
      <w:r>
        <w:instrText xml:space="preserve"> ADDIN ZOTERO_ITEM CSL_CITATION {"citationID":"WGWBfGnt","properties":{"formattedCitation":"[7]","plainCitation":"[7]","noteIndex":0},"citationItems":[{"id":191,"uris":["http://zotero.org/users/5690609/items/UXJ4FF66"],"uri":["http://zotero.org/users/5690609/items/UXJ4FF66"],"itemData":{"id":191,"type":"post-weblog","title":"Inmarsat receives IMO approval for Fleet Safety","container-title":"Inmarsat","URL":"https://www.inmarsat.com/news/inmarsat-receives-imo-approval-for-fleet-safety/","language":"en-US","accessed":{"date-parts":[["2019",7,8]]}}}],"schema":"https://github.com/citation-style-language/schema/raw/master/csl-citation.json"} </w:instrText>
      </w:r>
      <w:r>
        <w:fldChar w:fldCharType="separate"/>
      </w:r>
      <w:r w:rsidRPr="00F02FE8">
        <w:t>[7]</w:t>
      </w:r>
      <w:r>
        <w:fldChar w:fldCharType="end"/>
      </w:r>
      <w:r>
        <w:t>.</w:t>
      </w:r>
    </w:p>
    <w:p w14:paraId="0BBAF0A1" w14:textId="36D752F6" w:rsidR="00E41AA6" w:rsidRDefault="00E41AA6" w:rsidP="00285313">
      <w:pPr>
        <w:pStyle w:val="BodyText"/>
      </w:pPr>
      <w:r>
        <w:t xml:space="preserve">The fact that a set of important information can only be obtained from a lot of different sources with their own standards, channels and technologies makes </w:t>
      </w:r>
      <w:r w:rsidR="0019661D">
        <w:t xml:space="preserve">the </w:t>
      </w:r>
      <w:r>
        <w:t xml:space="preserve">gathering of information complicated and also expensive. Especially safety-relevant data like the MSI should be easy to distribute and easy to receive. The developments in IP-based communication for maritime applications can be seen as an opportunity to make important services easier available and more secure. </w:t>
      </w:r>
    </w:p>
    <w:p w14:paraId="1DAE0B16" w14:textId="019A209B" w:rsidR="00E41AA6" w:rsidRDefault="00E41AA6" w:rsidP="00285313">
      <w:pPr>
        <w:pStyle w:val="BodyText"/>
      </w:pPr>
      <w:r>
        <w:t xml:space="preserve">This paper demonstrates </w:t>
      </w:r>
      <w:r w:rsidR="0019661D">
        <w:t>how</w:t>
      </w:r>
      <w:r>
        <w:t xml:space="preserve"> to distribute information in the maritime environment using secure IP-based communication. The layer model of the internet protocol opens new possibilities for a separation of services and communication channel. A concept for distributing navigational warnings as a part of MSI over a secure IP-connection will be shown here.      </w:t>
      </w:r>
    </w:p>
    <w:p w14:paraId="38EC001E" w14:textId="77777777" w:rsidR="00E41AA6" w:rsidRDefault="00E41AA6" w:rsidP="00285313">
      <w:pPr>
        <w:pStyle w:val="Heading1"/>
      </w:pPr>
      <w:r>
        <w:t>Normative Background</w:t>
      </w:r>
    </w:p>
    <w:p w14:paraId="50CD506B" w14:textId="77777777" w:rsidR="00E41AA6" w:rsidRDefault="00E41AA6" w:rsidP="00285313">
      <w:pPr>
        <w:pStyle w:val="Heading2"/>
      </w:pPr>
      <w:r>
        <w:t>GMDSS</w:t>
      </w:r>
    </w:p>
    <w:p w14:paraId="6F930AAF" w14:textId="38BB78AC" w:rsidR="00E41AA6" w:rsidRDefault="00E41AA6" w:rsidP="00285313">
      <w:pPr>
        <w:pStyle w:val="BodyText"/>
      </w:pPr>
      <w:r w:rsidRPr="00CD728A">
        <w:rPr>
          <w:b/>
          <w:bCs/>
        </w:rPr>
        <w:t>The Global Maritime Distress and Safety System (GMDSS)</w:t>
      </w:r>
      <w:r>
        <w:t xml:space="preserve"> was designed to alert rescue authorities as well as near vessels in case of an emergency event. The </w:t>
      </w:r>
      <w:r w:rsidR="00381512">
        <w:t xml:space="preserve">goal </w:t>
      </w:r>
      <w:r>
        <w:t xml:space="preserve">is to provide help to the ship in distress as fast as possible. It is also used for the distribution of Maritime Safety Information (MSI) and was introduced by the SOLAS Convention in 1992. </w:t>
      </w:r>
      <w:r>
        <w:fldChar w:fldCharType="begin"/>
      </w:r>
      <w:r>
        <w:instrText xml:space="preserve"> ADDIN ZOTERO_ITEM CSL_CITATION {"citationID":"uzoIJC76","properties":{"formattedCitation":"[8]","plainCitation":"[8]","noteIndex":0},"citationItems":[{"id":197,"uris":["http://zotero.org/users/5690609/items/EILD7GB2"],"uri":["http://zotero.org/users/5690609/items/EILD7GB2"],"itemData":{"id":197,"type":"article-journal","title":"GMDSS as a Data Communication Network for E-Navigation","container-title":"TransNav, International Journal on Marine Navigation and Safety od Sea Transportation","volume":"2","issue":"3","source":"www.transnav.eu","URL":"http://www.transnav.eu/Article_GMDSS_as_a_Data_Communication_Network_Korcz,7,103.html","author":[{"family":"Korcz","given":"K"}],"issued":{"date-parts":[["2008",9,1]]},"accessed":{"date-parts":[["2019",7,14]]}}}],"schema":"https://github.com/citation-style-language/schema/raw/master/csl-citation.json"} </w:instrText>
      </w:r>
      <w:r>
        <w:fldChar w:fldCharType="separate"/>
      </w:r>
      <w:r w:rsidRPr="00F02FE8">
        <w:t>[8]</w:t>
      </w:r>
      <w:r>
        <w:fldChar w:fldCharType="end"/>
      </w:r>
    </w:p>
    <w:p w14:paraId="770DD867" w14:textId="77777777" w:rsidR="00E41AA6" w:rsidRDefault="00E41AA6" w:rsidP="00285313">
      <w:pPr>
        <w:pStyle w:val="BodyText"/>
      </w:pPr>
      <w:r>
        <w:t xml:space="preserve">The GMDSS uses several different communication methods realized by satellite or terrestrial services. Radar transponders and emergency position indicating radio beacons are also used sometimes for locating survivors after an accident. Depending on the location of the ship in distress, different channels are used for an automated establishment of communication. </w:t>
      </w:r>
      <w:r>
        <w:fldChar w:fldCharType="begin"/>
      </w:r>
      <w:r>
        <w:instrText xml:space="preserve"> ADDIN ZOTERO_ITEM CSL_CITATION {"citationID":"dCG5Hgy6","properties":{"formattedCitation":"[9]","plainCitation":"[9]","noteIndex":0},"citationItems":[{"id":200,"uris":["http://zotero.org/users/5690609/items/E9U379XL"],"uri":["http://zotero.org/users/5690609/items/E9U379XL"],"itemData":{"id":200,"type":"article-journal","title":"GMDSS Operability: The Operator-Equipment Interface","container-title":"Journal of Navigation","page":"75-82","volume":"55","source":"ResearchGate","abstract":"In this paper, the operability of the GMDSS is studied to identify those aspects that are hindering its successful use. Particular emphasis is placed upon the operator-equipment interface within the working environment of the ship's bridge. The results of a relevant survey, based on the opinion of recently G.O. certified navigation officers, indicate that – despite the automation in GMDSS and the resulting reduction of the human factor – there is a definite need to improve the knowledge-based proficiency of the operator. The current design of the system, and the increasing workload on the ship's bridge, constitute the main drawbacks to operability and dictate the requirement for improved knowledge and hence improved certification and refresher training for operators.","DOI":"10.1017/S037346330100162X","title-short":"GMDSS Operability","journalAbbreviation":"Journal of Navigation","author":[{"family":"Tzannatos","given":"Ernestos"}],"issued":{"date-parts":[["2002",1,1]]}}}],"schema":"https://github.com/citation-style-language/schema/raw/master/csl-citation.json"} </w:instrText>
      </w:r>
      <w:r>
        <w:fldChar w:fldCharType="separate"/>
      </w:r>
      <w:r w:rsidRPr="001679A3">
        <w:t>[9]</w:t>
      </w:r>
      <w:r>
        <w:fldChar w:fldCharType="end"/>
      </w:r>
    </w:p>
    <w:p w14:paraId="6933D8EF" w14:textId="23F5A67E" w:rsidR="00E41AA6" w:rsidRDefault="00E41AA6" w:rsidP="00285313">
      <w:pPr>
        <w:pStyle w:val="BodyText"/>
      </w:pPr>
      <w:r>
        <w:t>The addition of IP-based communication to the GMDSS via providers like Inmarsat is a recent development and opens the possibilit</w:t>
      </w:r>
      <w:r w:rsidR="00C15C35">
        <w:t>y</w:t>
      </w:r>
      <w:r>
        <w:t xml:space="preserve"> to reach ships in distant locations via an IP-connection </w:t>
      </w:r>
      <w:r>
        <w:fldChar w:fldCharType="begin"/>
      </w:r>
      <w:r>
        <w:instrText xml:space="preserve"> ADDIN ZOTERO_ITEM CSL_CITATION {"citationID":"YNCP45z6","properties":{"formattedCitation":"[7]","plainCitation":"[7]","noteIndex":0},"citationItems":[{"id":191,"uris":["http://zotero.org/users/5690609/items/UXJ4FF66"],"uri":["http://zotero.org/users/5690609/items/UXJ4FF66"],"itemData":{"id":191,"type":"post-weblog","title":"Inmarsat receives IMO approval for Fleet Safety","container-title":"Inmarsat","URL":"https://www.inmarsat.com/news/inmarsat-receives-imo-approval-for-fleet-safety/","language":"en-US","accessed":{"date-parts":[["2019",7,8]]}}}],"schema":"https://github.com/citation-style-language/schema/raw/master/csl-citation.json"} </w:instrText>
      </w:r>
      <w:r>
        <w:fldChar w:fldCharType="separate"/>
      </w:r>
      <w:r w:rsidRPr="00F02FE8">
        <w:t>[7]</w:t>
      </w:r>
      <w:r>
        <w:fldChar w:fldCharType="end"/>
      </w:r>
      <w:r>
        <w:t>. As a part of GMDSS these services must fulfil the approved safety and security standards regulated by the SOLAS Convention too.</w:t>
      </w:r>
    </w:p>
    <w:p w14:paraId="051629DC" w14:textId="77777777" w:rsidR="00E41AA6" w:rsidRDefault="00E41AA6" w:rsidP="00285313">
      <w:pPr>
        <w:pStyle w:val="Heading2"/>
      </w:pPr>
      <w:r>
        <w:t>MSI</w:t>
      </w:r>
    </w:p>
    <w:p w14:paraId="3E509904" w14:textId="77777777" w:rsidR="00E41AA6" w:rsidRDefault="00E41AA6" w:rsidP="00285313">
      <w:pPr>
        <w:pStyle w:val="BodyText"/>
      </w:pPr>
      <w:r>
        <w:t>As defined by the Resolution A.705 by the International Maritime Organization (IMO), the Maritime Safety Information Service is</w:t>
      </w:r>
    </w:p>
    <w:p w14:paraId="350AFBDB" w14:textId="77777777" w:rsidR="00E41AA6" w:rsidRDefault="00E41AA6" w:rsidP="00285313">
      <w:pPr>
        <w:pStyle w:val="BodyText"/>
      </w:pPr>
      <w:r w:rsidRPr="00DD7304">
        <w:rPr>
          <w:rStyle w:val="QuoteChar"/>
        </w:rPr>
        <w:t xml:space="preserve"> “[…] an internationally coordinated network of radio broadcasts containing information which is necessary for safe navigation, received in all ships by equipment which automatically monitors the appropriate frequencies and prints out in simple English only that information which is relevant to the ship”.</w:t>
      </w:r>
      <w:r w:rsidRPr="00847D77">
        <w:t xml:space="preserve"> </w:t>
      </w:r>
      <w:r>
        <w:fldChar w:fldCharType="begin"/>
      </w:r>
      <w:r>
        <w:instrText xml:space="preserve"> ADDIN ZOTERO_ITEM CSL_CITATION {"citationID":"aO2guBYW","properties":{"formattedCitation":"[2]","plainCitation":"[2]","noteIndex":0},"citationItems":[{"id":194,"uris":["http://zotero.org/users/5690609/items/UP9JKPIT"],"uri":["http://zotero.org/users/5690609/items/UP9JKPIT"],"itemData":{"id":194,"type":"article","title":"Resolution A.705(17) - Promulgation of Maritime Safety Information","publisher":"International Maritime Organization","URL":"http://www.imo.org/en/KnowledgeCentre/IndexofIMOResolutions/Assembly/Documents/A.705(17).pdf","issued":{"date-parts":[["1991",11,6]]}}}],"schema":"https://github.com/citation-style-language/schema/raw/master/csl-citation.json"} </w:instrText>
      </w:r>
      <w:r>
        <w:fldChar w:fldCharType="separate"/>
      </w:r>
      <w:r w:rsidRPr="00F02FE8">
        <w:t>[2]</w:t>
      </w:r>
      <w:r>
        <w:fldChar w:fldCharType="end"/>
      </w:r>
    </w:p>
    <w:p w14:paraId="016CCC64" w14:textId="2C53FCC7" w:rsidR="00E41AA6" w:rsidRDefault="00E41AA6" w:rsidP="00285313">
      <w:pPr>
        <w:pStyle w:val="BodyText"/>
      </w:pPr>
      <w:r>
        <w:t xml:space="preserve">The MSI service is also a part of the GMDSS. In addition to providing information about navigational warnings, the MSI service is used for the distribution of meteorological forecasts and warnings or other safety-related information. The process of the distribution is visualized in Figure 1: The MSI is sent to an abstraction layer of the available broadcast service. Depending on the location of the affected ships either NAVTEX or </w:t>
      </w:r>
      <w:proofErr w:type="spellStart"/>
      <w:r>
        <w:lastRenderedPageBreak/>
        <w:t>SafetyNET</w:t>
      </w:r>
      <w:proofErr w:type="spellEnd"/>
      <w:r>
        <w:t xml:space="preserve"> is selected to transmit the information. The GMDSS-equipped ship needs separate equipment for receiving the MSI either by satellite (</w:t>
      </w:r>
      <w:proofErr w:type="spellStart"/>
      <w:r>
        <w:t>SafetyNET</w:t>
      </w:r>
      <w:proofErr w:type="spellEnd"/>
      <w:r>
        <w:t xml:space="preserve">) or terrestrial (NAVTEX) communication channels. </w:t>
      </w:r>
      <w:r>
        <w:fldChar w:fldCharType="begin"/>
      </w:r>
      <w:r>
        <w:instrText xml:space="preserve"> ADDIN ZOTERO_ITEM CSL_CITATION {"citationID":"sHjleZSE","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p>
    <w:p w14:paraId="45E9C4E9" w14:textId="0899CEAE" w:rsidR="00E41AA6" w:rsidRDefault="00E41AA6" w:rsidP="00285313">
      <w:pPr>
        <w:pStyle w:val="Heading2"/>
      </w:pPr>
      <w:r>
        <w:t>S-100 Standards and S-124</w:t>
      </w:r>
    </w:p>
    <w:p w14:paraId="222B874D" w14:textId="592B9197" w:rsidR="00684298" w:rsidRDefault="00684298" w:rsidP="00285313">
      <w:pPr>
        <w:pStyle w:val="BodyText"/>
      </w:pPr>
      <w:r>
        <w:t>“</w:t>
      </w:r>
      <w:r w:rsidRPr="00684298">
        <w:t xml:space="preserve">The </w:t>
      </w:r>
      <w:r w:rsidRPr="00684298">
        <w:rPr>
          <w:b/>
          <w:bCs/>
        </w:rPr>
        <w:t>S-100 Standard</w:t>
      </w:r>
      <w:r w:rsidRPr="00684298">
        <w:t xml:space="preserve"> is a framework document that is intended for the development of digital products and services for hydrographic, maritime and GIS communities. It comprises multiple parts that are based on the geospatial standards developed by the International Organization for Standardization, Technical Committee 211 (ISO/TC211).</w:t>
      </w:r>
      <w:r>
        <w:t xml:space="preserve">” </w:t>
      </w:r>
      <w:r>
        <w:fldChar w:fldCharType="begin"/>
      </w:r>
      <w:r>
        <w:instrText xml:space="preserve"> ADDIN ZOTERO_ITEM CSL_CITATION {"citationID":"31xsn9y7","properties":{"formattedCitation":"[10]","plainCitation":"[10]","noteIndex":0},"citationItems":[{"id":292,"uris":["http://zotero.org/users/5690609/items/UWML3NG4"],"uri":["http://zotero.org/users/5690609/items/UWML3NG4"],"itemData":{"id":292,"type":"webpage","title":"THE S-100 UNIVERSAL HYDROGRAPHIC DATA MODEL","URL":"http://s100.iho.int/S100/","issued":{"date-parts":[["2017"]]},"accessed":{"date-parts":[["2019",9,5]]}}}],"schema":"https://github.com/citation-style-language/schema/raw/master/csl-citation.json"} </w:instrText>
      </w:r>
      <w:r>
        <w:fldChar w:fldCharType="separate"/>
      </w:r>
      <w:r w:rsidRPr="00684298">
        <w:t>[10]</w:t>
      </w:r>
      <w:r>
        <w:fldChar w:fldCharType="end"/>
      </w:r>
    </w:p>
    <w:p w14:paraId="4940A524" w14:textId="29D778B0" w:rsidR="00E41AA6" w:rsidRDefault="00E41AA6" w:rsidP="00285313">
      <w:pPr>
        <w:pStyle w:val="BodyText"/>
      </w:pPr>
      <w:r>
        <w:t xml:space="preserve">The </w:t>
      </w:r>
      <w:r w:rsidRPr="009B1B20">
        <w:rPr>
          <w:b/>
          <w:bCs/>
        </w:rPr>
        <w:t>S-124 Standard</w:t>
      </w:r>
      <w:r>
        <w:t xml:space="preserve"> is a product specification of the S-100 family,</w:t>
      </w:r>
      <w:r w:rsidR="00A86727">
        <w:t xml:space="preserve"> </w:t>
      </w:r>
      <w:r>
        <w:t>managed by the International Hydrographic Organization (IHO). It standardizes the Navigational Warnings with a S-100 conforming Data Model. Its intention is to describe and encode navigational warning data for the usage in navigation. The standard aims at its usage in the above describe</w:t>
      </w:r>
      <w:r w:rsidR="00111698">
        <w:t>d</w:t>
      </w:r>
      <w:r>
        <w:t xml:space="preserve"> mediums (NAVTEX and </w:t>
      </w:r>
      <w:proofErr w:type="spellStart"/>
      <w:r>
        <w:t>SafetyNET</w:t>
      </w:r>
      <w:proofErr w:type="spellEnd"/>
      <w:r>
        <w:t xml:space="preserve">). </w:t>
      </w:r>
      <w:r>
        <w:fldChar w:fldCharType="begin"/>
      </w:r>
      <w:r w:rsidR="00684298">
        <w:instrText xml:space="preserve"> ADDIN ZOTERO_ITEM CSL_CITATION {"citationID":"8GZdiPWk","properties":{"formattedCitation":"[11]","plainCitation":"[11]","noteIndex":0},"citationItems":[{"id":204,"uris":["http://zotero.org/users/5690609/items/SPCNRQTM"],"uri":["http://zotero.org/users/5690609/items/SPCNRQTM"],"itemData":{"id":204,"type":"article","title":"IHO Geospatial Standard For Navigational Warnings - Special Publication No. S-124 (Working Draft)","author":[{"family":"International Hydrographic Organization","given":""}],"issued":{"date-parts":[["2018",10,31]]}}}],"schema":"https://github.com/citation-style-language/schema/raw/master/csl-citation.json"} </w:instrText>
      </w:r>
      <w:r>
        <w:fldChar w:fldCharType="separate"/>
      </w:r>
      <w:r w:rsidR="00684298" w:rsidRPr="00684298">
        <w:t>[11]</w:t>
      </w:r>
      <w:r>
        <w:fldChar w:fldCharType="end"/>
      </w:r>
    </w:p>
    <w:p w14:paraId="500C202E" w14:textId="77777777" w:rsidR="00E41AA6" w:rsidRDefault="00E41AA6" w:rsidP="00285313">
      <w:pPr>
        <w:pStyle w:val="BodyText"/>
      </w:pPr>
    </w:p>
    <w:p w14:paraId="7C3B7733" w14:textId="77777777" w:rsidR="00E41AA6" w:rsidRDefault="00E41AA6" w:rsidP="00F15F46">
      <w:pPr>
        <w:pStyle w:val="BodyText"/>
        <w:jc w:val="center"/>
      </w:pPr>
      <w:r>
        <w:rPr>
          <w:noProof/>
          <w:lang w:val="en-US" w:eastAsia="en-US"/>
        </w:rPr>
        <w:drawing>
          <wp:inline distT="0" distB="0" distL="0" distR="0" wp14:anchorId="5A67C9CE" wp14:editId="5AB5D8B9">
            <wp:extent cx="3314039" cy="2553420"/>
            <wp:effectExtent l="0" t="0" r="1270" b="0"/>
            <wp:docPr id="1" name="Grafik 1"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hrome_2019-07-15_16-56-27.png"/>
                    <pic:cNvPicPr/>
                  </pic:nvPicPr>
                  <pic:blipFill>
                    <a:blip r:embed="rId8"/>
                    <a:stretch>
                      <a:fillRect/>
                    </a:stretch>
                  </pic:blipFill>
                  <pic:spPr>
                    <a:xfrm>
                      <a:off x="0" y="0"/>
                      <a:ext cx="3321690" cy="2559315"/>
                    </a:xfrm>
                    <a:prstGeom prst="rect">
                      <a:avLst/>
                    </a:prstGeom>
                  </pic:spPr>
                </pic:pic>
              </a:graphicData>
            </a:graphic>
          </wp:inline>
        </w:drawing>
      </w:r>
    </w:p>
    <w:p w14:paraId="1058CE59" w14:textId="5A34D2E5" w:rsidR="00E41AA6" w:rsidRDefault="00E41AA6" w:rsidP="00E41AA6">
      <w:pPr>
        <w:pStyle w:val="Caption"/>
        <w:jc w:val="center"/>
      </w:pPr>
      <w:r>
        <w:t xml:space="preserve">Figure </w:t>
      </w:r>
      <w:r>
        <w:fldChar w:fldCharType="begin"/>
      </w:r>
      <w:r>
        <w:instrText xml:space="preserve"> SEQ Figure \* ARABIC </w:instrText>
      </w:r>
      <w:r>
        <w:fldChar w:fldCharType="separate"/>
      </w:r>
      <w:r w:rsidR="000673CB">
        <w:rPr>
          <w:noProof/>
        </w:rPr>
        <w:t>1</w:t>
      </w:r>
      <w:r>
        <w:rPr>
          <w:noProof/>
        </w:rPr>
        <w:fldChar w:fldCharType="end"/>
      </w:r>
      <w:r>
        <w:t xml:space="preserve">: Distribution of the MSI - Information, Broadcast Services and Shipboard Equipment </w:t>
      </w:r>
      <w:r>
        <w:fldChar w:fldCharType="begin"/>
      </w:r>
      <w:r>
        <w:instrText xml:space="preserve"> ADDIN ZOTERO_ITEM CSL_CITATION {"citationID":"R34KpO39","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p>
    <w:p w14:paraId="39F0F8AF" w14:textId="77777777" w:rsidR="00E41AA6" w:rsidRDefault="00E41AA6" w:rsidP="00285313">
      <w:pPr>
        <w:pStyle w:val="Heading2"/>
      </w:pPr>
      <w:bookmarkStart w:id="2" w:name="_Ref15748866"/>
      <w:r w:rsidRPr="00456AC5">
        <w:t>S-100 Online Data Exchange</w:t>
      </w:r>
      <w:bookmarkEnd w:id="2"/>
    </w:p>
    <w:p w14:paraId="6C812EEF" w14:textId="77777777" w:rsidR="00E41AA6" w:rsidRPr="00456AC5" w:rsidRDefault="00E41AA6" w:rsidP="00285313">
      <w:pPr>
        <w:pStyle w:val="BodyText"/>
      </w:pPr>
      <w:r>
        <w:t>The following section summarizes the data exchange sections of the S-100 standard. The proposed concept in section 3 is an implementation of the data exchange model of the S-100 standard.</w:t>
      </w:r>
    </w:p>
    <w:p w14:paraId="32F26D1A" w14:textId="77777777" w:rsidR="00E41AA6" w:rsidRPr="00456AC5" w:rsidRDefault="00E41AA6" w:rsidP="00285313">
      <w:pPr>
        <w:pStyle w:val="BodyText"/>
      </w:pPr>
      <w:r w:rsidRPr="00456AC5">
        <w:t>The S-100 Standard suggests exchanging S-100-Datasets with the S100_ExchangeSet</w:t>
      </w:r>
      <w:r>
        <w:t xml:space="preserve"> class</w:t>
      </w:r>
      <w:r w:rsidRPr="00456AC5">
        <w:t xml:space="preserve"> provided in section 4a of the Standard. An important part of the Exchange Set Model is the aggregation of Metadata and support files. A complete S-100 Dataset, typically consisting of different files such as the Feature Catalogue or digital signatures should be exchanged with its Metadata in this way (see Figure 1).</w:t>
      </w:r>
    </w:p>
    <w:p w14:paraId="1950560A" w14:textId="77777777" w:rsidR="00E41AA6" w:rsidRPr="00456AC5" w:rsidRDefault="00E41AA6" w:rsidP="00F15F46">
      <w:pPr>
        <w:pStyle w:val="BodyText"/>
        <w:jc w:val="center"/>
      </w:pPr>
      <w:r w:rsidRPr="00456AC5">
        <w:rPr>
          <w:noProof/>
          <w:lang w:val="en-US" w:eastAsia="en-US"/>
        </w:rPr>
        <w:lastRenderedPageBreak/>
        <w:drawing>
          <wp:inline distT="0" distB="0" distL="0" distR="0" wp14:anchorId="0D4818D6" wp14:editId="21ED853D">
            <wp:extent cx="4868333" cy="2593844"/>
            <wp:effectExtent l="0" t="0" r="889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V4.0 Fig 4a-D3 S100 ExchangeSet.png"/>
                    <pic:cNvPicPr/>
                  </pic:nvPicPr>
                  <pic:blipFill>
                    <a:blip r:embed="rId9">
                      <a:extLst>
                        <a:ext uri="{28A0092B-C50C-407E-A947-70E740481C1C}">
                          <a14:useLocalDpi xmlns:a14="http://schemas.microsoft.com/office/drawing/2010/main" val="0"/>
                        </a:ext>
                      </a:extLst>
                    </a:blip>
                    <a:stretch>
                      <a:fillRect/>
                    </a:stretch>
                  </pic:blipFill>
                  <pic:spPr>
                    <a:xfrm>
                      <a:off x="0" y="0"/>
                      <a:ext cx="4889587" cy="2605168"/>
                    </a:xfrm>
                    <a:prstGeom prst="rect">
                      <a:avLst/>
                    </a:prstGeom>
                  </pic:spPr>
                </pic:pic>
              </a:graphicData>
            </a:graphic>
          </wp:inline>
        </w:drawing>
      </w:r>
    </w:p>
    <w:p w14:paraId="3A017E12" w14:textId="02A8A139" w:rsidR="00E41AA6" w:rsidRPr="00456AC5" w:rsidRDefault="00E41AA6" w:rsidP="00E41AA6">
      <w:pPr>
        <w:pStyle w:val="Caption"/>
        <w:jc w:val="center"/>
        <w:rPr>
          <w:lang w:val="en-GB"/>
        </w:rPr>
      </w:pPr>
      <w:r>
        <w:t xml:space="preserve">Figure </w:t>
      </w:r>
      <w:r>
        <w:fldChar w:fldCharType="begin"/>
      </w:r>
      <w:r>
        <w:instrText xml:space="preserve"> SEQ Figure \* ARABIC </w:instrText>
      </w:r>
      <w:r>
        <w:fldChar w:fldCharType="separate"/>
      </w:r>
      <w:r w:rsidR="000673CB">
        <w:rPr>
          <w:noProof/>
        </w:rPr>
        <w:t>2</w:t>
      </w:r>
      <w:r>
        <w:rPr>
          <w:noProof/>
        </w:rPr>
        <w:fldChar w:fldCharType="end"/>
      </w:r>
      <w:r>
        <w:t xml:space="preserve">: </w:t>
      </w:r>
      <w:r w:rsidRPr="00456AC5">
        <w:rPr>
          <w:lang w:val="en-GB"/>
        </w:rPr>
        <w:t>S100 Exchange</w:t>
      </w:r>
      <w:r>
        <w:rPr>
          <w:lang w:val="en-GB"/>
        </w:rPr>
        <w:t xml:space="preserve"> </w:t>
      </w:r>
      <w:r w:rsidRPr="00456AC5">
        <w:rPr>
          <w:lang w:val="en-GB"/>
        </w:rPr>
        <w:t>Set Model for exchanging S100 Datasets with their Metadata</w:t>
      </w:r>
    </w:p>
    <w:p w14:paraId="664E5A78" w14:textId="77777777" w:rsidR="00E41AA6" w:rsidRPr="00456AC5" w:rsidRDefault="00E41AA6" w:rsidP="00285313">
      <w:pPr>
        <w:pStyle w:val="BodyText"/>
      </w:pPr>
      <w:r w:rsidRPr="00456AC5">
        <w:t xml:space="preserve">When it comes to continuous data exchange nowadays, Webservices with publicly available APIs are often utilized for interchanging information. Webservice Technologies like REST or SOAP </w:t>
      </w:r>
      <w:r>
        <w:t>allow a fine-grained and efficient exchange of information</w:t>
      </w:r>
      <w:r w:rsidRPr="00456AC5">
        <w:t xml:space="preserve">. </w:t>
      </w:r>
      <w:r>
        <w:t xml:space="preserve">For this reason, </w:t>
      </w:r>
      <w:r w:rsidRPr="00456AC5">
        <w:t>Part 14 of the S-100 defines the usage of online services for the exchange of S-100 sets</w:t>
      </w:r>
      <w:r>
        <w:t xml:space="preserve"> of data</w:t>
      </w:r>
      <w:r w:rsidRPr="00456AC5">
        <w:t xml:space="preserve">. Services themselves </w:t>
      </w:r>
      <w:r>
        <w:t>shall</w:t>
      </w:r>
      <w:r w:rsidRPr="00456AC5">
        <w:t xml:space="preserve"> be modelled in a S-100 conform way (see Figure 2)</w:t>
      </w:r>
      <w:r>
        <w:t>:</w:t>
      </w:r>
      <w:r w:rsidRPr="00456AC5">
        <w:t xml:space="preserve"> The central class of the Service Data Model is the S100_ServiceMetaData which is composed of the Service Data Model including the S-100 Feature catalogue and the Service Interface which can be used to communicate with the Service. </w:t>
      </w:r>
    </w:p>
    <w:p w14:paraId="66F196F1" w14:textId="77777777" w:rsidR="00E41AA6" w:rsidRPr="00456AC5" w:rsidRDefault="00E41AA6" w:rsidP="00F15F46">
      <w:pPr>
        <w:pStyle w:val="BodyText"/>
        <w:jc w:val="center"/>
      </w:pPr>
      <w:r w:rsidRPr="00456AC5">
        <w:rPr>
          <w:noProof/>
          <w:lang w:val="en-US" w:eastAsia="en-US"/>
        </w:rPr>
        <w:drawing>
          <wp:inline distT="0" distB="0" distL="0" distR="0" wp14:anchorId="301D312E" wp14:editId="6AF47824">
            <wp:extent cx="5278966" cy="4000918"/>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croRd32_2019-08-01_12-24-34.png"/>
                    <pic:cNvPicPr/>
                  </pic:nvPicPr>
                  <pic:blipFill>
                    <a:blip r:embed="rId10"/>
                    <a:stretch>
                      <a:fillRect/>
                    </a:stretch>
                  </pic:blipFill>
                  <pic:spPr>
                    <a:xfrm>
                      <a:off x="0" y="0"/>
                      <a:ext cx="5287684" cy="4007526"/>
                    </a:xfrm>
                    <a:prstGeom prst="rect">
                      <a:avLst/>
                    </a:prstGeom>
                  </pic:spPr>
                </pic:pic>
              </a:graphicData>
            </a:graphic>
          </wp:inline>
        </w:drawing>
      </w:r>
    </w:p>
    <w:p w14:paraId="5D388439" w14:textId="54241FF6" w:rsidR="00E41AA6" w:rsidRPr="00456AC5" w:rsidRDefault="00E41AA6" w:rsidP="00E41AA6">
      <w:pPr>
        <w:pStyle w:val="Caption"/>
        <w:jc w:val="center"/>
        <w:rPr>
          <w:lang w:val="en-GB"/>
        </w:rPr>
      </w:pPr>
      <w:r>
        <w:t xml:space="preserve">Figure </w:t>
      </w:r>
      <w:r>
        <w:fldChar w:fldCharType="begin"/>
      </w:r>
      <w:r>
        <w:instrText xml:space="preserve"> SEQ Figure \* ARABIC </w:instrText>
      </w:r>
      <w:r>
        <w:fldChar w:fldCharType="separate"/>
      </w:r>
      <w:r w:rsidR="000673CB">
        <w:rPr>
          <w:noProof/>
        </w:rPr>
        <w:t>3</w:t>
      </w:r>
      <w:r>
        <w:rPr>
          <w:noProof/>
        </w:rPr>
        <w:fldChar w:fldCharType="end"/>
      </w:r>
      <w:r>
        <w:t xml:space="preserve">: </w:t>
      </w:r>
      <w:r w:rsidRPr="00456AC5">
        <w:rPr>
          <w:lang w:val="en-GB"/>
        </w:rPr>
        <w:t>S-100 Part 14: Data Model to describe a Service</w:t>
      </w:r>
    </w:p>
    <w:p w14:paraId="5C357564" w14:textId="77777777" w:rsidR="00E41AA6" w:rsidRPr="00456AC5" w:rsidRDefault="00E41AA6" w:rsidP="00285313">
      <w:pPr>
        <w:pStyle w:val="BodyText"/>
      </w:pPr>
      <w:r w:rsidRPr="00456AC5">
        <w:t xml:space="preserve">The Service Data Model does not contain all the fields used to describe the S100_ExchangeSet. This is due to the nature of a Service. A service is typically used to exchange multiple datasets as time passes. </w:t>
      </w:r>
    </w:p>
    <w:p w14:paraId="09E572BF" w14:textId="77777777" w:rsidR="00E41AA6" w:rsidRPr="00456AC5" w:rsidRDefault="00E41AA6" w:rsidP="00285313">
      <w:pPr>
        <w:pStyle w:val="BodyText"/>
      </w:pPr>
      <w:r w:rsidRPr="00456AC5">
        <w:lastRenderedPageBreak/>
        <w:t>Some information contained in the support files of the S100_ExchangeSet is dataset-specific and cannot be mapped to the general Service Metadata Model. A digital signature of a dataset, for example, is directly derived from the specific dataset and is different for every dataset. It has also kept in mind that a service has the possibility to reduce the amount of data. Meta-Information such as the Feature Catalogue or the available operations only need to be transmitted once when a new consumer connects to the service and opens a new session. The service can keep track of the sessions and only submit new information, that is not already known to the consumer. This makes the continuous communication more efficient and lightweight in comparison to the S100_ExchangeSet if multiple datasets need to be transmitted over time.</w:t>
      </w:r>
    </w:p>
    <w:p w14:paraId="426FAEB4" w14:textId="3DC04FDD" w:rsidR="00E41AA6" w:rsidRDefault="00E41AA6" w:rsidP="00285313">
      <w:pPr>
        <w:pStyle w:val="BodyText"/>
      </w:pPr>
      <w:r w:rsidRPr="00456AC5">
        <w:t>The two aspects mentioned above should be considered when constructing the data model of the Service: Firstly, if Metadata needs to be added to the datasets, either the data model itself needs additional fields for the description of Metainformation or a support class, similar to the S100_ExchangeSet needs to be constructed. Secondly, the Service communication scheme needs to be designed in such a way that the Service Metadata (not the dataset-specific Metadata) must be sent to the service consumer at the beginning of a session or the service metadata must be known to the consumer before. This is also prescribed by the S-100 Standard (section 14-4 to 14-6) and reduces the amount of transmitted data in comparison the S100_ExchangeSet, where Metadata such as the Feature Catalogue would be transmitted every time.</w:t>
      </w:r>
    </w:p>
    <w:p w14:paraId="15C49E17" w14:textId="6E096830" w:rsidR="007E6242" w:rsidRDefault="007E6242" w:rsidP="007E6242">
      <w:pPr>
        <w:pStyle w:val="Heading2"/>
      </w:pPr>
      <w:r>
        <w:t xml:space="preserve">IALA </w:t>
      </w:r>
      <w:r w:rsidR="0009085E">
        <w:t>Guideline</w:t>
      </w:r>
      <w:r>
        <w:t xml:space="preserve"> 1128 Specification of Technical Services</w:t>
      </w:r>
    </w:p>
    <w:p w14:paraId="4BCC1E07" w14:textId="0F6890EC" w:rsidR="007E6242" w:rsidRPr="007E6242" w:rsidRDefault="007E6242" w:rsidP="007E6242">
      <w:pPr>
        <w:pStyle w:val="BodyText"/>
      </w:pPr>
      <w:r>
        <w:t>The guid</w:t>
      </w:r>
      <w:r w:rsidR="00514ABB">
        <w:t>e</w:t>
      </w:r>
      <w:r>
        <w:t xml:space="preserve">line provides a </w:t>
      </w:r>
      <w:r w:rsidR="00514ABB">
        <w:t xml:space="preserve">more generic way to specify a technical service to implement a maritime service in the context of </w:t>
      </w:r>
      <w:proofErr w:type="spellStart"/>
      <w:r w:rsidR="00514ABB">
        <w:t>eNavigation</w:t>
      </w:r>
      <w:proofErr w:type="spellEnd"/>
      <w:r w:rsidR="00514ABB">
        <w:t>.</w:t>
      </w:r>
    </w:p>
    <w:p w14:paraId="518DF466" w14:textId="77777777" w:rsidR="00E41AA6" w:rsidRPr="00651614" w:rsidRDefault="00E41AA6" w:rsidP="00285313">
      <w:pPr>
        <w:pStyle w:val="Heading2"/>
      </w:pPr>
      <w:r>
        <w:t>Maritime Connectivity Platform</w:t>
      </w:r>
    </w:p>
    <w:p w14:paraId="194E79A2" w14:textId="192ED4E8" w:rsidR="00762D7F" w:rsidRDefault="00762D7F" w:rsidP="00285313">
      <w:pPr>
        <w:pStyle w:val="BodyText"/>
        <w:rPr>
          <w:lang w:val="en-US"/>
        </w:rPr>
      </w:pPr>
      <w:r>
        <w:rPr>
          <w:lang w:val="en-US"/>
        </w:rPr>
        <w:t xml:space="preserve">The goal of the Maritime Connectivity Platform (MCP) is to enable that information can be exchanged efficiently, securely, reliably and seamlessly between authorized maritime </w:t>
      </w:r>
      <w:r w:rsidR="00684298">
        <w:rPr>
          <w:lang w:val="en-US"/>
        </w:rPr>
        <w:t>entities</w:t>
      </w:r>
      <w:r>
        <w:rPr>
          <w:lang w:val="en-US"/>
        </w:rPr>
        <w:t xml:space="preserve"> across diverse communication systems. To this end the MCP consists of three core components: the Maritime Identity Registry (MIR), the Maritime Service Registry (MSR), and the Maritime Messaging Service (MMS). </w:t>
      </w:r>
    </w:p>
    <w:p w14:paraId="75F9467D" w14:textId="75952108" w:rsidR="00A65676" w:rsidRDefault="00762D7F" w:rsidP="00F15F46">
      <w:pPr>
        <w:pStyle w:val="BodyText"/>
      </w:pPr>
      <w:r>
        <w:rPr>
          <w:lang w:val="en-US"/>
        </w:rPr>
        <w:t xml:space="preserve">The MIR </w:t>
      </w:r>
      <w:r w:rsidR="00A65676">
        <w:rPr>
          <w:lang w:val="en-US"/>
        </w:rPr>
        <w:t xml:space="preserve">compromises three components that together provide the infrastructure necessary for </w:t>
      </w:r>
      <w:r>
        <w:rPr>
          <w:lang w:val="en-US"/>
        </w:rPr>
        <w:t>secure communication</w:t>
      </w:r>
      <w:r w:rsidR="00A65676">
        <w:rPr>
          <w:lang w:val="en-US"/>
        </w:rPr>
        <w:t xml:space="preserve"> services today.</w:t>
      </w:r>
      <w:r>
        <w:rPr>
          <w:lang w:val="en-US"/>
        </w:rPr>
        <w:t xml:space="preserve"> </w:t>
      </w:r>
      <w:r w:rsidR="00A65676">
        <w:rPr>
          <w:lang w:val="en-US"/>
        </w:rPr>
        <w:t xml:space="preserve">Firstly, </w:t>
      </w:r>
      <w:r w:rsidR="00A65676" w:rsidRPr="00F15F46">
        <w:t>Identity Management:</w:t>
      </w:r>
      <w:r w:rsidR="00A65676">
        <w:t xml:space="preserve"> Each MCP entity obtains a unique ID in terms of a Maritime Resource Name (MRN).  Secondly,</w:t>
      </w:r>
      <w:r w:rsidR="00A65676">
        <w:rPr>
          <w:lang w:val="en-US"/>
        </w:rPr>
        <w:t xml:space="preserve"> </w:t>
      </w:r>
      <w:r w:rsidR="00A65676" w:rsidRPr="00F15F46">
        <w:t>Public Key Infrastructure (PKI):</w:t>
      </w:r>
      <w:r w:rsidR="00A65676" w:rsidRPr="001D62CF">
        <w:t xml:space="preserve"> Each MCP entity holds an electronic identity in terms of a public/private key pair and a certificate bound to their MCP </w:t>
      </w:r>
      <w:r w:rsidR="00A65676">
        <w:t xml:space="preserve">ID. And </w:t>
      </w:r>
      <w:r w:rsidR="00684298">
        <w:t>thirdly,</w:t>
      </w:r>
      <w:r w:rsidR="00684298" w:rsidRPr="001D62CF">
        <w:t xml:space="preserve"> </w:t>
      </w:r>
      <w:r w:rsidR="00684298">
        <w:t>Authentication</w:t>
      </w:r>
      <w:r w:rsidR="00A65676" w:rsidRPr="00F15F46">
        <w:t xml:space="preserve"> and Authorization for Web Services:</w:t>
      </w:r>
      <w:r w:rsidR="00A65676">
        <w:t xml:space="preserve"> MCP entities benefit from login, single sign-on, and authorization for API access of web services, as well as secure integration of web services based on the standards OAUTH 2.0 and OpenID Connect.  </w:t>
      </w:r>
    </w:p>
    <w:p w14:paraId="04B85D99" w14:textId="77777777" w:rsidR="00E41AA6" w:rsidRDefault="00E41AA6" w:rsidP="00285313">
      <w:pPr>
        <w:pStyle w:val="Heading1"/>
      </w:pPr>
      <w:r>
        <w:t>Concept</w:t>
      </w:r>
    </w:p>
    <w:p w14:paraId="2FEB6962" w14:textId="77777777" w:rsidR="00E41AA6" w:rsidRDefault="00E41AA6" w:rsidP="00285313">
      <w:pPr>
        <w:pStyle w:val="Heading2"/>
      </w:pPr>
      <w:r>
        <w:t>IP-Technology in Maritime Environments</w:t>
      </w:r>
    </w:p>
    <w:p w14:paraId="7536B448" w14:textId="57DC38E9" w:rsidR="00E41AA6" w:rsidRDefault="00E41AA6" w:rsidP="00285313">
      <w:pPr>
        <w:pStyle w:val="BodyText"/>
      </w:pPr>
      <w:r>
        <w:t xml:space="preserve">The stack of communication technologies in the maritime industry is comprehensive. Technologies like LTE, VHF, AIS, Wi-Fi, etc. are commonly used on ship bridges. The IP-Protocol is a widespread network layer protocol and abstracts from data link and physical communication layers (in the OSI layer-model). Different </w:t>
      </w:r>
      <w:r w:rsidR="00A86727">
        <w:t>T</w:t>
      </w:r>
      <w:r>
        <w:t>echnologies that are already used in maritime applications can provide the underlying layers of the IP-Protocol. Satellite communication, LTE or 802.11, for example, can be utilized for that. The abstraction from these low-level standards opens new possibilities for always available services without the need of specific implementations for several low-level communication channels.</w:t>
      </w:r>
    </w:p>
    <w:p w14:paraId="4EAF2CA2" w14:textId="6F2876C8" w:rsidR="00E41AA6" w:rsidRDefault="00E41AA6" w:rsidP="00285313">
      <w:pPr>
        <w:pStyle w:val="BodyText"/>
      </w:pPr>
      <w:r>
        <w:t xml:space="preserve">With the new developments in IP-providing services like Inmarsat’s Fleet One IP broadband communication with an exhaustive availability or LTE with a very high bandwidth, a new set of maritime services is imaginable. These services are implemented on top of the IP-Protocol and therefore do not need to deal with low-level communication issues. These services can be reached by Wi-Fi in port areas, LTE or cellular technologies in coastal areas or satellite communication at sea to make the most efficient way of communication possible respectively. </w:t>
      </w:r>
    </w:p>
    <w:p w14:paraId="31503412" w14:textId="2881CF9B" w:rsidR="00E41AA6" w:rsidRPr="00744F1A" w:rsidRDefault="00E41AA6" w:rsidP="00285313">
      <w:pPr>
        <w:pStyle w:val="BodyText"/>
      </w:pPr>
      <w:r>
        <w:t xml:space="preserve">Also, upcoming issues with cyber-security are currently relevant (see </w:t>
      </w:r>
      <w:r>
        <w:fldChar w:fldCharType="begin"/>
      </w:r>
      <w:r w:rsidR="00684298">
        <w:instrText xml:space="preserve"> ADDIN ZOTERO_ITEM CSL_CITATION {"citationID":"oHK23w9L","properties":{"formattedCitation":"[12]","plainCitation":"[12]","noteIndex":0},"citationItems":[{"id":239,"uris":["http://zotero.org/users/5690609/items/EVLLQDCN"],"uri":["http://zotero.org/users/5690609/items/EVLLQDCN"],"itemData":{"id":239,"type":"article-journal","title":"Challenges in Maritime Cyber-Resilience","container-title":"Technology Innovation Management Review","page":"35-39","volume":"5","abstract":"The maritime industry has been shown to be under increasing levels of cyber-attack, with future attacks having the potential to severely disrupt critical infrastructure. The industry lacks a standardized approach to cybersecurity, a national approach will be counterproductive, and a global mandatory standard, while needed, will take a long time to implement. In the shorter term, this article recommends that the industry coalesce around a set of voluntary guidelines in order to reduce the risk profile and increase resilience. To provide context for these recommendations, this article examines the specific characteristics of the maritime industry in relation to cybersecurity. Examples of existing vulnerabilities and reported cyber-attacks demonstrate that the threat is current and real.","DOI":"http://doi.org/10.22215/timreview/889","ISSN":"1927-0321","author":[{"family":"Jensen","given":"Lars"}],"issued":{"date-parts":[["2015",4]]}}}],"schema":"https://github.com/citation-style-language/schema/raw/master/csl-citation.json"} </w:instrText>
      </w:r>
      <w:r>
        <w:fldChar w:fldCharType="separate"/>
      </w:r>
      <w:r w:rsidR="00684298" w:rsidRPr="00684298">
        <w:t>[12]</w:t>
      </w:r>
      <w:r>
        <w:fldChar w:fldCharType="end"/>
      </w:r>
      <w:r>
        <w:t xml:space="preserve">). Additionally, some </w:t>
      </w:r>
      <w:r w:rsidR="000A0361">
        <w:t xml:space="preserve">low-level </w:t>
      </w:r>
      <w:r>
        <w:t>maritime technologies, such as AIS are completely open and can be misused easily.</w:t>
      </w:r>
      <w:r w:rsidR="000A0361">
        <w:t xml:space="preserve"> </w:t>
      </w:r>
      <w:r>
        <w:t xml:space="preserve">IP-based communication </w:t>
      </w:r>
      <w:r>
        <w:lastRenderedPageBreak/>
        <w:t xml:space="preserve">enables </w:t>
      </w:r>
      <w:r w:rsidR="000A0361">
        <w:t xml:space="preserve">to employ the </w:t>
      </w:r>
      <w:r w:rsidR="006009BB">
        <w:t xml:space="preserve">standard </w:t>
      </w:r>
      <w:r>
        <w:t>security</w:t>
      </w:r>
      <w:r w:rsidR="006009BB">
        <w:t xml:space="preserve"> protocols built on top of IP and the layers above it </w:t>
      </w:r>
      <w:r w:rsidR="000A0361">
        <w:t>(</w:t>
      </w:r>
      <w:r w:rsidR="006009BB">
        <w:t>such as TCP</w:t>
      </w:r>
      <w:r w:rsidR="000A0361">
        <w:t>)</w:t>
      </w:r>
      <w:r w:rsidR="006009BB">
        <w:t xml:space="preserve">. </w:t>
      </w:r>
      <w:r>
        <w:t>The IP-protocol is not the answer to all security related issues, but it provides the possibilit</w:t>
      </w:r>
      <w:r w:rsidR="006009BB">
        <w:t>y</w:t>
      </w:r>
      <w:r>
        <w:t xml:space="preserve"> to create secure communication channels and is a technology that needs to be discussed in the maritime industry in the future. The MSI is a good example for a service that can be deployed as an IP-based service.</w:t>
      </w:r>
    </w:p>
    <w:p w14:paraId="6CEA5B9F" w14:textId="77777777" w:rsidR="00E41AA6" w:rsidRDefault="00E41AA6" w:rsidP="00285313">
      <w:pPr>
        <w:pStyle w:val="Heading2"/>
      </w:pPr>
      <w:bookmarkStart w:id="3" w:name="_Ref17969694"/>
      <w:r>
        <w:t>Navigational Warnings Service</w:t>
      </w:r>
      <w:bookmarkEnd w:id="3"/>
    </w:p>
    <w:p w14:paraId="75C9CEBB" w14:textId="77777777" w:rsidR="00E41AA6" w:rsidRPr="00F36B28" w:rsidRDefault="00E41AA6" w:rsidP="00E41AA6">
      <w:pPr>
        <w:pStyle w:val="Para"/>
      </w:pPr>
    </w:p>
    <w:p w14:paraId="5A0CD265" w14:textId="075963A2" w:rsidR="00E41AA6" w:rsidRPr="00857E12" w:rsidRDefault="00E41AA6" w:rsidP="00285313">
      <w:pPr>
        <w:pStyle w:val="BodyText"/>
      </w:pPr>
      <w:r>
        <w:t>The technology that is proposed in this paper should be entitled to offer a lightweight broadcasting service for Navigational Warnings over a secure IP connection as a proof-of-concept. Additional considerations about the realization of such a service are discussed in section</w:t>
      </w:r>
      <w:r w:rsidR="00A00997">
        <w:t xml:space="preserve"> </w:t>
      </w:r>
      <w:r w:rsidR="00A00997">
        <w:fldChar w:fldCharType="begin"/>
      </w:r>
      <w:r w:rsidR="00A00997">
        <w:instrText xml:space="preserve"> REF _Ref18575864 \r \h </w:instrText>
      </w:r>
      <w:r w:rsidR="00A00997">
        <w:fldChar w:fldCharType="separate"/>
      </w:r>
      <w:r w:rsidR="00A00997">
        <w:t>6</w:t>
      </w:r>
      <w:r w:rsidR="00A00997">
        <w:fldChar w:fldCharType="end"/>
      </w:r>
      <w:r>
        <w:t xml:space="preserve">.   </w:t>
      </w:r>
    </w:p>
    <w:p w14:paraId="38F04D46" w14:textId="1CDE28E4" w:rsidR="00E41AA6" w:rsidRDefault="00E41AA6" w:rsidP="00285313">
      <w:pPr>
        <w:pStyle w:val="BodyText"/>
      </w:pPr>
      <w:r>
        <w:t xml:space="preserve">Currently, </w:t>
      </w:r>
      <w:proofErr w:type="spellStart"/>
      <w:r>
        <w:t>SafetyNET</w:t>
      </w:r>
      <w:proofErr w:type="spellEnd"/>
      <w:r>
        <w:t xml:space="preserve"> and NAVTEX use geographic Broadcasts to deliver Navigational warnings </w:t>
      </w:r>
      <w:r>
        <w:fldChar w:fldCharType="begin"/>
      </w:r>
      <w:r>
        <w:instrText xml:space="preserve"> ADDIN ZOTERO_ITEM CSL_CITATION {"citationID":"8CVKgVzA","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857E12">
        <w:t>[3]</w:t>
      </w:r>
      <w:r>
        <w:fldChar w:fldCharType="end"/>
      </w:r>
      <w:r>
        <w:t xml:space="preserve">. The distribution of the messages is realized by directional satellite signals or local terrestrial broadcasts. The idea of Geo-Broadcasts should remain in place when it comes to an IP-based solution. As broadcasting over IP is not supported in public networks, the broadcast idea needs to be emulated in a different way:  The IP communication needs to be established by the consumer of the Navigational warnings. The Navigational Warning Service can then start to communicate and broadcast the information to all registered consumers. The most basic concept to realize such a mechanism is to deploy a set of local service providers, which are bound to geographical areas. The IP-addresses/hostnames of these services need to be publicly available to the consumers. When a consumer wants to subscribe to Navigational Warnings for a specific area, a simple table look-up can provide the hostname of the service provider for that area (see </w:t>
      </w:r>
      <w:r>
        <w:fldChar w:fldCharType="begin"/>
      </w:r>
      <w:r>
        <w:instrText xml:space="preserve"> REF _Ref16505913 \h </w:instrText>
      </w:r>
      <w:r>
        <w:fldChar w:fldCharType="separate"/>
      </w:r>
      <w:r w:rsidR="000673CB">
        <w:t xml:space="preserve">Figure </w:t>
      </w:r>
      <w:r w:rsidR="000673CB">
        <w:rPr>
          <w:noProof/>
        </w:rPr>
        <w:t>4</w:t>
      </w:r>
      <w:r>
        <w:fldChar w:fldCharType="end"/>
      </w:r>
      <w:r>
        <w:t xml:space="preserve">). </w:t>
      </w:r>
    </w:p>
    <w:p w14:paraId="75D15570" w14:textId="77777777" w:rsidR="00E41AA6" w:rsidRDefault="00E41AA6" w:rsidP="00285313">
      <w:pPr>
        <w:pStyle w:val="BodyText"/>
        <w:rPr>
          <w:noProof/>
        </w:rPr>
      </w:pPr>
    </w:p>
    <w:p w14:paraId="7AC78FD0" w14:textId="77777777" w:rsidR="00E41AA6" w:rsidRDefault="00E41AA6" w:rsidP="00F15F46">
      <w:pPr>
        <w:pStyle w:val="BodyText"/>
        <w:jc w:val="center"/>
      </w:pPr>
      <w:r>
        <w:rPr>
          <w:noProof/>
          <w:lang w:val="en-US" w:eastAsia="en-US"/>
        </w:rPr>
        <w:drawing>
          <wp:inline distT="0" distB="0" distL="0" distR="0" wp14:anchorId="3FB1F364" wp14:editId="28D315FA">
            <wp:extent cx="4479094" cy="2946003"/>
            <wp:effectExtent l="0" t="0" r="0" b="6985"/>
            <wp:docPr id="9" name="Grafik 9"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rovider_table.png"/>
                    <pic:cNvPicPr/>
                  </pic:nvPicPr>
                  <pic:blipFill rotWithShape="1">
                    <a:blip r:embed="rId11"/>
                    <a:srcRect l="3299" t="11411" r="27184" b="7303"/>
                    <a:stretch/>
                  </pic:blipFill>
                  <pic:spPr bwMode="auto">
                    <a:xfrm>
                      <a:off x="0" y="0"/>
                      <a:ext cx="4499672" cy="2959538"/>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54E50E94" w14:textId="442586CD" w:rsidR="00E41AA6" w:rsidRDefault="00E41AA6" w:rsidP="00F15F46">
      <w:pPr>
        <w:pStyle w:val="Caption"/>
        <w:jc w:val="center"/>
      </w:pPr>
      <w:bookmarkStart w:id="4" w:name="_Ref16505913"/>
      <w:r>
        <w:t xml:space="preserve">Figure </w:t>
      </w:r>
      <w:r>
        <w:fldChar w:fldCharType="begin"/>
      </w:r>
      <w:r>
        <w:instrText xml:space="preserve"> SEQ Figure \* ARABIC </w:instrText>
      </w:r>
      <w:r>
        <w:fldChar w:fldCharType="separate"/>
      </w:r>
      <w:r w:rsidR="000673CB">
        <w:rPr>
          <w:noProof/>
        </w:rPr>
        <w:t>4</w:t>
      </w:r>
      <w:r>
        <w:rPr>
          <w:noProof/>
        </w:rPr>
        <w:fldChar w:fldCharType="end"/>
      </w:r>
      <w:bookmarkEnd w:id="4"/>
      <w:r>
        <w:t>: Table Look-Up of Navigational Warning Service Providers by Geographic Area</w:t>
      </w:r>
    </w:p>
    <w:p w14:paraId="494EA8C4" w14:textId="0E4AAC7E" w:rsidR="006A4860" w:rsidRDefault="00E41AA6" w:rsidP="00285313">
      <w:pPr>
        <w:pStyle w:val="BodyText"/>
      </w:pPr>
      <w:r>
        <w:t>To secure the exchange of the Navigational Warnings,</w:t>
      </w:r>
      <w:r w:rsidR="005F2ADC">
        <w:t xml:space="preserve"> we discuss</w:t>
      </w:r>
      <w:r>
        <w:t xml:space="preserve"> </w:t>
      </w:r>
      <w:r w:rsidR="004E4C15">
        <w:t>two options.</w:t>
      </w:r>
      <w:r w:rsidR="00A62966">
        <w:t xml:space="preserve"> One option is to require that </w:t>
      </w:r>
      <w:r w:rsidR="00714BB7">
        <w:t xml:space="preserve">each </w:t>
      </w:r>
      <w:r w:rsidR="00AC201F">
        <w:t>navigational warning</w:t>
      </w:r>
      <w:r w:rsidR="00A62966">
        <w:t xml:space="preserve"> </w:t>
      </w:r>
      <w:r w:rsidR="00AC201F">
        <w:t xml:space="preserve">is </w:t>
      </w:r>
      <w:r w:rsidR="00A62966">
        <w:t xml:space="preserve">digitally </w:t>
      </w:r>
      <w:r w:rsidR="0082245F">
        <w:t xml:space="preserve">signed by the originator of the </w:t>
      </w:r>
      <w:r w:rsidR="00A62966">
        <w:t>warnin</w:t>
      </w:r>
      <w:r w:rsidR="001C52E7">
        <w:t>g</w:t>
      </w:r>
      <w:r w:rsidR="00A62966">
        <w:t>.</w:t>
      </w:r>
      <w:r w:rsidR="001C52E7">
        <w:t xml:space="preserve"> Th</w:t>
      </w:r>
      <w:r w:rsidR="00714BB7">
        <w:t xml:space="preserve">ereby it is possible to </w:t>
      </w:r>
      <w:r w:rsidR="001C52E7">
        <w:t>guarantee origin and message authenticity without any trust assumptions on intermediary communication points but care has to be taken to prevent replay attacks. We show in Section 5.4</w:t>
      </w:r>
      <w:r w:rsidR="004A06C6">
        <w:t xml:space="preserve"> and 5.5</w:t>
      </w:r>
      <w:r w:rsidR="001C52E7">
        <w:t xml:space="preserve"> how this can be achieved</w:t>
      </w:r>
      <w:r w:rsidR="004A06C6">
        <w:t xml:space="preserve"> in the context of the </w:t>
      </w:r>
      <w:r w:rsidR="001C52E7">
        <w:t xml:space="preserve">S124-Standard. </w:t>
      </w:r>
      <w:r w:rsidR="009028E5">
        <w:t xml:space="preserve">The second option is </w:t>
      </w:r>
      <w:r w:rsidR="00AC201F">
        <w:t>to ensure that the communication between the consumer and service is carried o</w:t>
      </w:r>
      <w:r w:rsidR="0082245F">
        <w:t>ut via a secure connection, e.g.</w:t>
      </w:r>
      <w:r w:rsidR="00AC201F">
        <w:t xml:space="preserve"> via TLS. The TLS Protocol is very common in Webservice communication and provides no further overhead. However, the con</w:t>
      </w:r>
      <w:r w:rsidR="0082245F">
        <w:t xml:space="preserve">sumer has to trust that </w:t>
      </w:r>
      <w:r w:rsidR="006A4860">
        <w:t>the</w:t>
      </w:r>
      <w:r w:rsidR="00AC201F">
        <w:t xml:space="preserve"> service provider</w:t>
      </w:r>
      <w:r w:rsidR="006A4860">
        <w:t xml:space="preserve"> distributes authentic</w:t>
      </w:r>
      <w:r w:rsidR="005F2ADC">
        <w:t xml:space="preserve"> and timely</w:t>
      </w:r>
      <w:r w:rsidR="006A4860">
        <w:t xml:space="preserve"> warnings</w:t>
      </w:r>
      <w:r w:rsidR="0082245F">
        <w:t xml:space="preserve"> only</w:t>
      </w:r>
      <w:r w:rsidR="006A4860">
        <w:t>, and it lies with the service provider to ensure this.</w:t>
      </w:r>
      <w:r w:rsidR="005F2ADC">
        <w:t xml:space="preserve"> The two options can of course also be used in combination.</w:t>
      </w:r>
    </w:p>
    <w:p w14:paraId="2166DCF1" w14:textId="1D8D4F8C" w:rsidR="00A65E57" w:rsidRDefault="00AC201F" w:rsidP="00285313">
      <w:pPr>
        <w:pStyle w:val="BodyText"/>
      </w:pPr>
      <w:r>
        <w:t xml:space="preserve">Both solutions require the existence of a Public Key Infrastructure (PKI) including a certificate authority (CA) that issues certificates for the participants of the proposed communication pattern. The service lookup-table </w:t>
      </w:r>
      <w:r>
        <w:lastRenderedPageBreak/>
        <w:t>can be extended with a list of CAs that are trusted by the consumer.</w:t>
      </w:r>
      <w:r w:rsidR="005F2ADC">
        <w:t xml:space="preserve"> Suitable PKIs are currently set up by operators of the MCP.</w:t>
      </w:r>
    </w:p>
    <w:p w14:paraId="17425F61" w14:textId="77777777" w:rsidR="00AC201F" w:rsidRDefault="00AC201F" w:rsidP="00285313">
      <w:pPr>
        <w:pStyle w:val="BodyText"/>
      </w:pPr>
    </w:p>
    <w:p w14:paraId="7ABDC51D" w14:textId="77777777" w:rsidR="00AC201F" w:rsidRDefault="00AC201F" w:rsidP="00285313">
      <w:pPr>
        <w:pStyle w:val="BodyText"/>
      </w:pPr>
    </w:p>
    <w:p w14:paraId="301EB3AC" w14:textId="77777777" w:rsidR="00E41AA6" w:rsidRDefault="00E41AA6" w:rsidP="00F15F46">
      <w:pPr>
        <w:pStyle w:val="BodyText"/>
        <w:jc w:val="center"/>
      </w:pPr>
      <w:r>
        <w:rPr>
          <w:noProof/>
          <w:lang w:val="en-US" w:eastAsia="en-US"/>
        </w:rPr>
        <w:drawing>
          <wp:inline distT="0" distB="0" distL="0" distR="0" wp14:anchorId="44FED8B5" wp14:editId="7FCC7D21">
            <wp:extent cx="5291180" cy="2620401"/>
            <wp:effectExtent l="0" t="0" r="5080" b="8890"/>
            <wp:docPr id="10" name="Grafik 10" descr="Ein Bild, das Karte,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rovider_with_ca.png"/>
                    <pic:cNvPicPr/>
                  </pic:nvPicPr>
                  <pic:blipFill rotWithShape="1">
                    <a:blip r:embed="rId12"/>
                    <a:srcRect l="7399" t="6021" r="1151" b="13464"/>
                    <a:stretch/>
                  </pic:blipFill>
                  <pic:spPr bwMode="auto">
                    <a:xfrm>
                      <a:off x="0" y="0"/>
                      <a:ext cx="5305048" cy="2627269"/>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24DFA0F5" w14:textId="7B482634" w:rsidR="00E41AA6" w:rsidRDefault="00E41AA6" w:rsidP="00F15F46">
      <w:pPr>
        <w:pStyle w:val="Caption"/>
        <w:jc w:val="center"/>
      </w:pPr>
      <w:r>
        <w:t xml:space="preserve">Figure </w:t>
      </w:r>
      <w:r>
        <w:fldChar w:fldCharType="begin"/>
      </w:r>
      <w:r>
        <w:instrText xml:space="preserve"> SEQ Figure \* ARABIC </w:instrText>
      </w:r>
      <w:r>
        <w:fldChar w:fldCharType="separate"/>
      </w:r>
      <w:r w:rsidR="000673CB">
        <w:rPr>
          <w:noProof/>
        </w:rPr>
        <w:t>5</w:t>
      </w:r>
      <w:r>
        <w:rPr>
          <w:noProof/>
        </w:rPr>
        <w:fldChar w:fldCharType="end"/>
      </w:r>
      <w:r>
        <w:t>: Extension of the concept with Certificate Authorities to secure the exchange of Navigational Warnings.</w:t>
      </w:r>
    </w:p>
    <w:p w14:paraId="322E97D1" w14:textId="77777777" w:rsidR="00E41AA6" w:rsidRPr="004121C4" w:rsidRDefault="00E41AA6" w:rsidP="00285313">
      <w:pPr>
        <w:pStyle w:val="BodyText"/>
      </w:pPr>
      <w:r>
        <w:t>As it is not always possible or intended to contact the CA for each message that is broadcasted by the service provider, the consumer which is typically a vessel at sea is recommended to update the local certificate store whenever in charge of a good connection. This aims to optimize the usage of the potentially limited bandwidth at sea.</w:t>
      </w:r>
    </w:p>
    <w:p w14:paraId="40830B56" w14:textId="77777777" w:rsidR="00E41AA6" w:rsidRDefault="00E41AA6" w:rsidP="00285313">
      <w:pPr>
        <w:pStyle w:val="Heading2"/>
      </w:pPr>
      <w:bookmarkStart w:id="5" w:name="_Ref16792989"/>
      <w:r>
        <w:t xml:space="preserve">S-124 as </w:t>
      </w:r>
      <w:proofErr w:type="spellStart"/>
      <w:r>
        <w:t>WebService</w:t>
      </w:r>
      <w:bookmarkEnd w:id="5"/>
      <w:proofErr w:type="spellEnd"/>
    </w:p>
    <w:p w14:paraId="7E56B6FC" w14:textId="316B203D" w:rsidR="00E41AA6" w:rsidRDefault="00E41AA6" w:rsidP="00285313">
      <w:pPr>
        <w:pStyle w:val="BodyText"/>
      </w:pPr>
      <w:r>
        <w:t xml:space="preserve">The following section describes the realization of a navigational warnings service. The service specification is an instance of the S-100 Service Data Model as introduced in section </w:t>
      </w:r>
      <w:r>
        <w:fldChar w:fldCharType="begin"/>
      </w:r>
      <w:r>
        <w:instrText xml:space="preserve"> REF _Ref15748866 \r \h  \* MERGEFORMAT </w:instrText>
      </w:r>
      <w:r>
        <w:fldChar w:fldCharType="separate"/>
      </w:r>
      <w:r w:rsidR="000673CB">
        <w:t>4.4</w:t>
      </w:r>
      <w:r>
        <w:fldChar w:fldCharType="end"/>
      </w:r>
      <w:r>
        <w:t xml:space="preserve">. </w:t>
      </w:r>
      <w:r>
        <w:fldChar w:fldCharType="begin"/>
      </w:r>
      <w:r>
        <w:instrText xml:space="preserve"> REF _Ref15749252 \h </w:instrText>
      </w:r>
      <w:r>
        <w:fldChar w:fldCharType="separate"/>
      </w:r>
      <w:r w:rsidR="000673CB">
        <w:t xml:space="preserve">Figure </w:t>
      </w:r>
      <w:r w:rsidR="000673CB">
        <w:rPr>
          <w:noProof/>
        </w:rPr>
        <w:t>6</w:t>
      </w:r>
      <w:r>
        <w:fldChar w:fldCharType="end"/>
      </w:r>
      <w:r>
        <w:t xml:space="preserve"> shows the instantiation of the model. The </w:t>
      </w:r>
      <w:proofErr w:type="spellStart"/>
      <w:r>
        <w:t>ServiceMetaData</w:t>
      </w:r>
      <w:proofErr w:type="spellEnd"/>
      <w:r>
        <w:t xml:space="preserve"> provides the central structure and provides information about the service itself. The </w:t>
      </w:r>
      <w:proofErr w:type="spellStart"/>
      <w:r>
        <w:t>ServiceInterface</w:t>
      </w:r>
      <w:proofErr w:type="spellEnd"/>
      <w:r>
        <w:t xml:space="preserve"> in combination with the </w:t>
      </w:r>
      <w:proofErr w:type="spellStart"/>
      <w:r>
        <w:t>ConsumerInterface</w:t>
      </w:r>
      <w:proofErr w:type="spellEnd"/>
      <w:r>
        <w:t xml:space="preserve"> specifies the way consumers can interact with the service. The data model of the service can be described by the (XML-) Feature Catalogue of the S-124 Standard. </w:t>
      </w:r>
    </w:p>
    <w:p w14:paraId="5FB6CC18" w14:textId="77777777" w:rsidR="00E41AA6" w:rsidRDefault="00E41AA6" w:rsidP="00F15F46">
      <w:pPr>
        <w:pStyle w:val="BodyText"/>
        <w:jc w:val="center"/>
      </w:pPr>
      <w:r>
        <w:rPr>
          <w:noProof/>
          <w:lang w:val="en-US" w:eastAsia="en-US"/>
        </w:rPr>
        <w:drawing>
          <wp:inline distT="0" distB="0" distL="0" distR="0" wp14:anchorId="62E951F9" wp14:editId="2BFAA862">
            <wp:extent cx="5486400" cy="1705610"/>
            <wp:effectExtent l="0" t="0" r="0" b="8890"/>
            <wp:docPr id="17" name="Grafik 17"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A_2019-08-03_18-25-01.png"/>
                    <pic:cNvPicPr/>
                  </pic:nvPicPr>
                  <pic:blipFill>
                    <a:blip r:embed="rId13"/>
                    <a:stretch>
                      <a:fillRect/>
                    </a:stretch>
                  </pic:blipFill>
                  <pic:spPr>
                    <a:xfrm>
                      <a:off x="0" y="0"/>
                      <a:ext cx="5486400" cy="1705610"/>
                    </a:xfrm>
                    <a:prstGeom prst="rect">
                      <a:avLst/>
                    </a:prstGeom>
                  </pic:spPr>
                </pic:pic>
              </a:graphicData>
            </a:graphic>
          </wp:inline>
        </w:drawing>
      </w:r>
    </w:p>
    <w:p w14:paraId="02C099F3" w14:textId="7930A11D" w:rsidR="00E41AA6" w:rsidRPr="008407AB" w:rsidRDefault="00E41AA6" w:rsidP="00E41AA6">
      <w:pPr>
        <w:pStyle w:val="Caption"/>
        <w:jc w:val="center"/>
      </w:pPr>
      <w:bookmarkStart w:id="6" w:name="_Ref15749252"/>
      <w:r>
        <w:t xml:space="preserve">Figure </w:t>
      </w:r>
      <w:r>
        <w:fldChar w:fldCharType="begin"/>
      </w:r>
      <w:r>
        <w:instrText xml:space="preserve"> SEQ Figure \* ARABIC </w:instrText>
      </w:r>
      <w:r>
        <w:fldChar w:fldCharType="separate"/>
      </w:r>
      <w:r w:rsidR="000673CB">
        <w:rPr>
          <w:noProof/>
        </w:rPr>
        <w:t>6</w:t>
      </w:r>
      <w:r>
        <w:rPr>
          <w:noProof/>
        </w:rPr>
        <w:fldChar w:fldCharType="end"/>
      </w:r>
      <w:bookmarkEnd w:id="6"/>
      <w:r>
        <w:t>: Service Specification of the Navigational Warnings Service</w:t>
      </w:r>
    </w:p>
    <w:p w14:paraId="31DEC1F7" w14:textId="6C5F7A00" w:rsidR="00E41AA6" w:rsidRDefault="00E41AA6" w:rsidP="00285313">
      <w:pPr>
        <w:pStyle w:val="BodyText"/>
        <w:rPr>
          <w:lang w:eastAsia="de-DE"/>
        </w:rPr>
      </w:pPr>
      <w:r>
        <w:rPr>
          <w:lang w:eastAsia="de-DE"/>
        </w:rPr>
        <w:t>The operations of the service, which are also instances of the Service Data Model are illustrated in a separate diagram for the sake of clarity</w:t>
      </w:r>
      <w:r w:rsidR="004A5F6E">
        <w:rPr>
          <w:lang w:eastAsia="de-DE"/>
        </w:rPr>
        <w:t>. Please note, that for demonstration we only implement a subset of the proposed operations in the S-124 Standard, section 11.2.2.</w:t>
      </w:r>
    </w:p>
    <w:p w14:paraId="49C3ED89" w14:textId="77777777" w:rsidR="00E41AA6" w:rsidRDefault="00E41AA6" w:rsidP="00F15F46">
      <w:pPr>
        <w:pStyle w:val="BodyText"/>
        <w:jc w:val="center"/>
        <w:rPr>
          <w:lang w:eastAsia="de-DE"/>
        </w:rPr>
      </w:pPr>
      <w:r>
        <w:rPr>
          <w:noProof/>
          <w:lang w:val="en-US" w:eastAsia="en-US"/>
        </w:rPr>
        <w:lastRenderedPageBreak/>
        <w:drawing>
          <wp:inline distT="0" distB="0" distL="0" distR="0" wp14:anchorId="4A1A72CB" wp14:editId="73B2C29D">
            <wp:extent cx="3992033" cy="3503342"/>
            <wp:effectExtent l="0" t="0" r="8890" b="190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A_2019-08-03_18-22-39.png"/>
                    <pic:cNvPicPr/>
                  </pic:nvPicPr>
                  <pic:blipFill>
                    <a:blip r:embed="rId14"/>
                    <a:stretch>
                      <a:fillRect/>
                    </a:stretch>
                  </pic:blipFill>
                  <pic:spPr>
                    <a:xfrm>
                      <a:off x="0" y="0"/>
                      <a:ext cx="4003599" cy="3513492"/>
                    </a:xfrm>
                    <a:prstGeom prst="rect">
                      <a:avLst/>
                    </a:prstGeom>
                  </pic:spPr>
                </pic:pic>
              </a:graphicData>
            </a:graphic>
          </wp:inline>
        </w:drawing>
      </w:r>
    </w:p>
    <w:p w14:paraId="7C7C7237" w14:textId="4F69D6B4" w:rsidR="00E41AA6" w:rsidRDefault="00E41AA6" w:rsidP="00E41AA6">
      <w:pPr>
        <w:pStyle w:val="Caption"/>
        <w:jc w:val="center"/>
      </w:pPr>
      <w:r>
        <w:t xml:space="preserve">Figure </w:t>
      </w:r>
      <w:r>
        <w:fldChar w:fldCharType="begin"/>
      </w:r>
      <w:r>
        <w:instrText xml:space="preserve"> SEQ Figure \* ARABIC </w:instrText>
      </w:r>
      <w:r>
        <w:fldChar w:fldCharType="separate"/>
      </w:r>
      <w:r w:rsidR="000673CB">
        <w:rPr>
          <w:noProof/>
        </w:rPr>
        <w:t>7</w:t>
      </w:r>
      <w:r>
        <w:rPr>
          <w:noProof/>
        </w:rPr>
        <w:fldChar w:fldCharType="end"/>
      </w:r>
      <w:r>
        <w:t>: Available Operations of the Navigational Warning Service</w:t>
      </w:r>
    </w:p>
    <w:p w14:paraId="4D3692D4" w14:textId="77777777" w:rsidR="00E41AA6" w:rsidRDefault="00E41AA6" w:rsidP="00285313">
      <w:pPr>
        <w:pStyle w:val="BodyText"/>
      </w:pPr>
      <w:r>
        <w:t xml:space="preserve">The operations </w:t>
      </w:r>
      <w:proofErr w:type="spellStart"/>
      <w:r>
        <w:t>StartSession</w:t>
      </w:r>
      <w:proofErr w:type="spellEnd"/>
      <w:r>
        <w:t xml:space="preserve">, </w:t>
      </w:r>
      <w:proofErr w:type="spellStart"/>
      <w:r>
        <w:t>EndSession</w:t>
      </w:r>
      <w:proofErr w:type="spellEnd"/>
      <w:r>
        <w:t xml:space="preserve">, </w:t>
      </w:r>
      <w:proofErr w:type="spellStart"/>
      <w:r>
        <w:t>KeepAlive</w:t>
      </w:r>
      <w:proofErr w:type="spellEnd"/>
      <w:r>
        <w:t xml:space="preserve"> and </w:t>
      </w:r>
      <w:proofErr w:type="spellStart"/>
      <w:r>
        <w:t>GetMetaData</w:t>
      </w:r>
      <w:proofErr w:type="spellEnd"/>
      <w:r>
        <w:t xml:space="preserve"> are the minimal requirements for a S-100 conform session-based service specification as stated in section 14-9 of the S-100 standard. Sessions are utilized to keep an internal state of which consumer has received which warning. When querying the service again, the service can identify the consumer by the </w:t>
      </w:r>
      <w:proofErr w:type="spellStart"/>
      <w:r>
        <w:t>sessionID</w:t>
      </w:r>
      <w:proofErr w:type="spellEnd"/>
      <w:r>
        <w:t xml:space="preserve"> and only transmit new navigational warnings. This is an important factor to minimize the traffic and ensure that every consumer is aware of any relevant warnings. </w:t>
      </w:r>
    </w:p>
    <w:p w14:paraId="41ABA9C1" w14:textId="66B5B647" w:rsidR="00E41AA6" w:rsidRDefault="00E41AA6" w:rsidP="00285313">
      <w:pPr>
        <w:pStyle w:val="BodyText"/>
      </w:pPr>
      <w:r>
        <w:t xml:space="preserve">Note that </w:t>
      </w:r>
      <w:proofErr w:type="spellStart"/>
      <w:r>
        <w:t>GetMetaData</w:t>
      </w:r>
      <w:proofErr w:type="spellEnd"/>
      <w:r>
        <w:t xml:space="preserve"> returns the </w:t>
      </w:r>
      <w:proofErr w:type="spellStart"/>
      <w:r>
        <w:t>ServiceMetaData</w:t>
      </w:r>
      <w:proofErr w:type="spellEnd"/>
      <w:r>
        <w:t xml:space="preserve"> instance, defined in </w:t>
      </w:r>
      <w:r>
        <w:fldChar w:fldCharType="begin"/>
      </w:r>
      <w:r>
        <w:instrText xml:space="preserve"> REF _Ref15749252 \h </w:instrText>
      </w:r>
      <w:r>
        <w:fldChar w:fldCharType="separate"/>
      </w:r>
      <w:r w:rsidR="000673CB">
        <w:t xml:space="preserve">Figure </w:t>
      </w:r>
      <w:r w:rsidR="000673CB">
        <w:rPr>
          <w:noProof/>
        </w:rPr>
        <w:t>6</w:t>
      </w:r>
      <w:r>
        <w:fldChar w:fldCharType="end"/>
      </w:r>
      <w:r>
        <w:t xml:space="preserve">. Hence, </w:t>
      </w:r>
      <w:proofErr w:type="spellStart"/>
      <w:r>
        <w:t>GetMetaData</w:t>
      </w:r>
      <w:proofErr w:type="spellEnd"/>
      <w:r>
        <w:t xml:space="preserve"> is the only </w:t>
      </w:r>
      <w:r w:rsidR="00841C69">
        <w:t>c</w:t>
      </w:r>
      <w:r>
        <w:t xml:space="preserve">ommand that must be known to the consumer to discover the services capabilities. </w:t>
      </w:r>
    </w:p>
    <w:p w14:paraId="719C29AD" w14:textId="77777777" w:rsidR="00E41AA6" w:rsidRDefault="00E41AA6" w:rsidP="00285313">
      <w:pPr>
        <w:pStyle w:val="BodyText"/>
        <w:rPr>
          <w:rStyle w:val="IntenseEmphasis"/>
        </w:rPr>
      </w:pPr>
      <w:r w:rsidRPr="00D56133">
        <w:rPr>
          <w:rStyle w:val="IntenseEmphasis"/>
        </w:rPr>
        <w:t>Operation</w:t>
      </w:r>
      <w:r>
        <w:rPr>
          <w:rStyle w:val="IntenseEmphasis"/>
        </w:rPr>
        <w:t>s</w:t>
      </w:r>
      <w:r w:rsidRPr="00D56133">
        <w:rPr>
          <w:rStyle w:val="IntenseEmphasis"/>
        </w:rPr>
        <w:t xml:space="preserve"> Description</w:t>
      </w:r>
    </w:p>
    <w:p w14:paraId="0EF7C684" w14:textId="77777777" w:rsidR="00E41AA6" w:rsidRPr="00D56133" w:rsidRDefault="00E41AA6" w:rsidP="00285313">
      <w:pPr>
        <w:pStyle w:val="BodyText"/>
        <w:rPr>
          <w:rStyle w:val="IntenseEmphasis"/>
        </w:rPr>
      </w:pPr>
      <w:proofErr w:type="spellStart"/>
      <w:r>
        <w:t>StartSession</w:t>
      </w:r>
      <w:proofErr w:type="spellEnd"/>
      <w:r>
        <w:t xml:space="preserve">, </w:t>
      </w:r>
      <w:proofErr w:type="spellStart"/>
      <w:r>
        <w:t>EndSession</w:t>
      </w:r>
      <w:proofErr w:type="spellEnd"/>
      <w:r>
        <w:t xml:space="preserve">, </w:t>
      </w:r>
      <w:proofErr w:type="spellStart"/>
      <w:r>
        <w:t>KeepAlive</w:t>
      </w:r>
      <w:proofErr w:type="spellEnd"/>
      <w:r>
        <w:t xml:space="preserve"> and </w:t>
      </w:r>
      <w:proofErr w:type="spellStart"/>
      <w:r>
        <w:t>GetMetaData</w:t>
      </w:r>
      <w:proofErr w:type="spellEnd"/>
      <w:r>
        <w:t xml:space="preserve"> are implemented as described in S-100 section 14-9.</w:t>
      </w:r>
    </w:p>
    <w:p w14:paraId="52876263" w14:textId="77777777" w:rsidR="00E41AA6" w:rsidRPr="0042445B" w:rsidRDefault="00E41AA6" w:rsidP="00285313">
      <w:pPr>
        <w:pStyle w:val="BodyText"/>
      </w:pPr>
      <w:proofErr w:type="spellStart"/>
      <w:r w:rsidRPr="0042445B">
        <w:t>Get_NW_</w:t>
      </w:r>
      <w:r>
        <w:t>Messages</w:t>
      </w:r>
      <w:proofErr w:type="spellEnd"/>
    </w:p>
    <w:p w14:paraId="2ED63ECA" w14:textId="77777777" w:rsidR="00E41AA6" w:rsidRPr="0042445B" w:rsidRDefault="00E41AA6" w:rsidP="00285313">
      <w:pPr>
        <w:pStyle w:val="BodyText"/>
        <w:rPr>
          <w:rStyle w:val="SubtleReference"/>
        </w:rPr>
      </w:pPr>
      <w:proofErr w:type="spellStart"/>
      <w:r w:rsidRPr="0042445B">
        <w:rPr>
          <w:rStyle w:val="SubtleReference"/>
        </w:rPr>
        <w:t>operationType</w:t>
      </w:r>
      <w:proofErr w:type="spellEnd"/>
      <w:r w:rsidRPr="0042445B">
        <w:rPr>
          <w:rStyle w:val="SubtleReference"/>
        </w:rPr>
        <w:t xml:space="preserve">: SYNCHRONOUS </w:t>
      </w:r>
    </w:p>
    <w:p w14:paraId="6C33A884" w14:textId="77777777" w:rsidR="00E41AA6" w:rsidRPr="0042445B" w:rsidRDefault="00E41AA6" w:rsidP="00285313">
      <w:pPr>
        <w:pStyle w:val="BodyText"/>
        <w:rPr>
          <w:rStyle w:val="SubtleReference"/>
        </w:rPr>
      </w:pPr>
      <w:proofErr w:type="spellStart"/>
      <w:r w:rsidRPr="0042445B">
        <w:rPr>
          <w:rStyle w:val="SubtleReference"/>
        </w:rPr>
        <w:t>operationOwner</w:t>
      </w:r>
      <w:proofErr w:type="spellEnd"/>
      <w:r w:rsidRPr="0042445B">
        <w:rPr>
          <w:rStyle w:val="SubtleReference"/>
        </w:rPr>
        <w:t>: SERVICE_PROVIDER</w:t>
      </w:r>
    </w:p>
    <w:tbl>
      <w:tblPr>
        <w:tblStyle w:val="TableGrid"/>
        <w:tblW w:w="8500" w:type="dxa"/>
        <w:tblLayout w:type="fixed"/>
        <w:tblLook w:val="04A0" w:firstRow="1" w:lastRow="0" w:firstColumn="1" w:lastColumn="0" w:noHBand="0" w:noVBand="1"/>
      </w:tblPr>
      <w:tblGrid>
        <w:gridCol w:w="1021"/>
        <w:gridCol w:w="1242"/>
        <w:gridCol w:w="1560"/>
        <w:gridCol w:w="850"/>
        <w:gridCol w:w="1276"/>
        <w:gridCol w:w="850"/>
        <w:gridCol w:w="1701"/>
      </w:tblGrid>
      <w:tr w:rsidR="00E41AA6" w:rsidRPr="007410F4" w14:paraId="0BDFC4B0" w14:textId="77777777" w:rsidTr="005D7CF0">
        <w:trPr>
          <w:trHeight w:val="504"/>
        </w:trPr>
        <w:tc>
          <w:tcPr>
            <w:tcW w:w="1021" w:type="dxa"/>
          </w:tcPr>
          <w:p w14:paraId="14D4C7B1" w14:textId="77777777" w:rsidR="00E41AA6" w:rsidRPr="0042445B" w:rsidRDefault="00E41AA6" w:rsidP="00285313">
            <w:pPr>
              <w:pStyle w:val="BodyText"/>
            </w:pPr>
            <w:r w:rsidRPr="0042445B">
              <w:t>Role Name</w:t>
            </w:r>
          </w:p>
        </w:tc>
        <w:tc>
          <w:tcPr>
            <w:tcW w:w="1242" w:type="dxa"/>
          </w:tcPr>
          <w:p w14:paraId="41FD8EF8" w14:textId="77777777" w:rsidR="00E41AA6" w:rsidRPr="0042445B" w:rsidRDefault="00E41AA6" w:rsidP="00285313">
            <w:pPr>
              <w:pStyle w:val="BodyText"/>
            </w:pPr>
            <w:r w:rsidRPr="0042445B">
              <w:t>Name</w:t>
            </w:r>
          </w:p>
        </w:tc>
        <w:tc>
          <w:tcPr>
            <w:tcW w:w="1560" w:type="dxa"/>
          </w:tcPr>
          <w:p w14:paraId="37628661" w14:textId="77777777" w:rsidR="00E41AA6" w:rsidRPr="0042445B" w:rsidRDefault="00E41AA6" w:rsidP="00285313">
            <w:pPr>
              <w:pStyle w:val="BodyText"/>
            </w:pPr>
            <w:r w:rsidRPr="0042445B">
              <w:t>Description</w:t>
            </w:r>
          </w:p>
        </w:tc>
        <w:tc>
          <w:tcPr>
            <w:tcW w:w="850" w:type="dxa"/>
          </w:tcPr>
          <w:p w14:paraId="59C9F940" w14:textId="77777777" w:rsidR="00E41AA6" w:rsidRPr="0042445B" w:rsidRDefault="00E41AA6" w:rsidP="00285313">
            <w:pPr>
              <w:pStyle w:val="BodyText"/>
            </w:pPr>
            <w:proofErr w:type="spellStart"/>
            <w:r w:rsidRPr="0042445B">
              <w:t>Mult</w:t>
            </w:r>
            <w:proofErr w:type="spellEnd"/>
          </w:p>
        </w:tc>
        <w:tc>
          <w:tcPr>
            <w:tcW w:w="1276" w:type="dxa"/>
          </w:tcPr>
          <w:p w14:paraId="346BE710" w14:textId="77777777" w:rsidR="00E41AA6" w:rsidRPr="0042445B" w:rsidRDefault="00E41AA6" w:rsidP="00285313">
            <w:pPr>
              <w:pStyle w:val="BodyText"/>
            </w:pPr>
            <w:r w:rsidRPr="0042445B">
              <w:t>Type</w:t>
            </w:r>
          </w:p>
        </w:tc>
        <w:tc>
          <w:tcPr>
            <w:tcW w:w="850" w:type="dxa"/>
          </w:tcPr>
          <w:p w14:paraId="2A8C3059" w14:textId="77777777" w:rsidR="00E41AA6" w:rsidRPr="0042445B" w:rsidRDefault="00E41AA6" w:rsidP="00285313">
            <w:pPr>
              <w:pStyle w:val="BodyText"/>
            </w:pPr>
            <w:r w:rsidRPr="0042445B">
              <w:t>Direction</w:t>
            </w:r>
          </w:p>
        </w:tc>
        <w:tc>
          <w:tcPr>
            <w:tcW w:w="1701" w:type="dxa"/>
          </w:tcPr>
          <w:p w14:paraId="5F279082" w14:textId="77777777" w:rsidR="00E41AA6" w:rsidRPr="0042445B" w:rsidRDefault="00E41AA6" w:rsidP="00285313">
            <w:pPr>
              <w:pStyle w:val="BodyText"/>
            </w:pPr>
            <w:r w:rsidRPr="0042445B">
              <w:t>Encoding</w:t>
            </w:r>
          </w:p>
        </w:tc>
      </w:tr>
      <w:tr w:rsidR="00E41AA6" w:rsidRPr="007410F4" w14:paraId="34069AAC" w14:textId="77777777" w:rsidTr="005D7CF0">
        <w:trPr>
          <w:trHeight w:val="414"/>
        </w:trPr>
        <w:tc>
          <w:tcPr>
            <w:tcW w:w="1021" w:type="dxa"/>
          </w:tcPr>
          <w:p w14:paraId="22895846" w14:textId="77777777" w:rsidR="00E41AA6" w:rsidRPr="0042445B" w:rsidRDefault="00E41AA6" w:rsidP="00285313">
            <w:pPr>
              <w:pStyle w:val="BodyText"/>
            </w:pPr>
            <w:r w:rsidRPr="0042445B">
              <w:t>Operation</w:t>
            </w:r>
          </w:p>
        </w:tc>
        <w:tc>
          <w:tcPr>
            <w:tcW w:w="1242" w:type="dxa"/>
          </w:tcPr>
          <w:p w14:paraId="0A0C4216" w14:textId="77777777" w:rsidR="00E41AA6" w:rsidRPr="0042445B" w:rsidRDefault="00E41AA6" w:rsidP="00285313">
            <w:pPr>
              <w:pStyle w:val="BodyText"/>
            </w:pPr>
            <w:proofErr w:type="spellStart"/>
            <w:r w:rsidRPr="0042445B">
              <w:t>Get_NW_Messages</w:t>
            </w:r>
            <w:proofErr w:type="spellEnd"/>
          </w:p>
        </w:tc>
        <w:tc>
          <w:tcPr>
            <w:tcW w:w="1560" w:type="dxa"/>
          </w:tcPr>
          <w:p w14:paraId="134FF281" w14:textId="77777777" w:rsidR="00E41AA6" w:rsidRPr="0042445B" w:rsidRDefault="00E41AA6" w:rsidP="00285313">
            <w:pPr>
              <w:pStyle w:val="BodyText"/>
            </w:pPr>
            <w:r w:rsidRPr="0042445B">
              <w:t xml:space="preserve">Provides </w:t>
            </w:r>
            <w:r>
              <w:t xml:space="preserve">Navigational Warning </w:t>
            </w:r>
            <w:r w:rsidRPr="0042445B">
              <w:t>messages for a specific area</w:t>
            </w:r>
          </w:p>
        </w:tc>
        <w:tc>
          <w:tcPr>
            <w:tcW w:w="850" w:type="dxa"/>
          </w:tcPr>
          <w:p w14:paraId="7D16EE4A" w14:textId="77777777" w:rsidR="00E41AA6" w:rsidRPr="0042445B" w:rsidRDefault="00E41AA6" w:rsidP="00285313">
            <w:pPr>
              <w:pStyle w:val="BodyText"/>
            </w:pPr>
            <w:r w:rsidRPr="0042445B">
              <w:t>-</w:t>
            </w:r>
          </w:p>
        </w:tc>
        <w:tc>
          <w:tcPr>
            <w:tcW w:w="1276" w:type="dxa"/>
          </w:tcPr>
          <w:p w14:paraId="73C08C42" w14:textId="77777777" w:rsidR="00E41AA6" w:rsidRPr="0042445B" w:rsidRDefault="00E41AA6" w:rsidP="00285313">
            <w:pPr>
              <w:pStyle w:val="BodyText"/>
            </w:pPr>
            <w:r w:rsidRPr="0042445B">
              <w:t>-</w:t>
            </w:r>
          </w:p>
        </w:tc>
        <w:tc>
          <w:tcPr>
            <w:tcW w:w="850" w:type="dxa"/>
          </w:tcPr>
          <w:p w14:paraId="3CD1B816" w14:textId="77777777" w:rsidR="00E41AA6" w:rsidRPr="0042445B" w:rsidRDefault="00E41AA6" w:rsidP="00285313">
            <w:pPr>
              <w:pStyle w:val="BodyText"/>
            </w:pPr>
            <w:r w:rsidRPr="0042445B">
              <w:t>-</w:t>
            </w:r>
          </w:p>
        </w:tc>
        <w:tc>
          <w:tcPr>
            <w:tcW w:w="1701" w:type="dxa"/>
          </w:tcPr>
          <w:p w14:paraId="5490046D" w14:textId="77777777" w:rsidR="00E41AA6" w:rsidRPr="0042445B" w:rsidRDefault="00E41AA6" w:rsidP="005D7CF0">
            <w:pPr>
              <w:rPr>
                <w:sz w:val="18"/>
                <w:szCs w:val="18"/>
              </w:rPr>
            </w:pPr>
          </w:p>
        </w:tc>
      </w:tr>
      <w:tr w:rsidR="00E41AA6" w:rsidRPr="007410F4" w14:paraId="0631A7ED" w14:textId="77777777" w:rsidTr="005D7CF0">
        <w:trPr>
          <w:trHeight w:val="414"/>
        </w:trPr>
        <w:tc>
          <w:tcPr>
            <w:tcW w:w="1021" w:type="dxa"/>
          </w:tcPr>
          <w:p w14:paraId="7C68807D" w14:textId="77777777" w:rsidR="00E41AA6" w:rsidRPr="0042445B" w:rsidRDefault="00E41AA6" w:rsidP="00285313">
            <w:pPr>
              <w:pStyle w:val="BodyText"/>
            </w:pPr>
            <w:r w:rsidRPr="0042445B">
              <w:t>Parameter</w:t>
            </w:r>
          </w:p>
        </w:tc>
        <w:tc>
          <w:tcPr>
            <w:tcW w:w="1242" w:type="dxa"/>
          </w:tcPr>
          <w:p w14:paraId="50162A9A" w14:textId="77777777" w:rsidR="00E41AA6" w:rsidRPr="0042445B" w:rsidRDefault="00E41AA6" w:rsidP="00285313">
            <w:pPr>
              <w:pStyle w:val="BodyText"/>
            </w:pPr>
            <w:proofErr w:type="spellStart"/>
            <w:r w:rsidRPr="0042445B">
              <w:t>sessionID</w:t>
            </w:r>
            <w:proofErr w:type="spellEnd"/>
          </w:p>
        </w:tc>
        <w:tc>
          <w:tcPr>
            <w:tcW w:w="1560" w:type="dxa"/>
          </w:tcPr>
          <w:p w14:paraId="7D6D450F" w14:textId="77777777" w:rsidR="00E41AA6" w:rsidRPr="0042445B" w:rsidRDefault="00E41AA6" w:rsidP="00285313">
            <w:pPr>
              <w:pStyle w:val="BodyText"/>
            </w:pPr>
            <w:r w:rsidRPr="0042445B">
              <w:t>To identify the active session</w:t>
            </w:r>
          </w:p>
        </w:tc>
        <w:tc>
          <w:tcPr>
            <w:tcW w:w="850" w:type="dxa"/>
          </w:tcPr>
          <w:p w14:paraId="63FF5EF6" w14:textId="77777777" w:rsidR="00E41AA6" w:rsidRPr="0042445B" w:rsidRDefault="00E41AA6" w:rsidP="00285313">
            <w:pPr>
              <w:pStyle w:val="BodyText"/>
            </w:pPr>
            <w:r w:rsidRPr="0042445B">
              <w:t>1</w:t>
            </w:r>
          </w:p>
        </w:tc>
        <w:tc>
          <w:tcPr>
            <w:tcW w:w="1276" w:type="dxa"/>
          </w:tcPr>
          <w:p w14:paraId="56EAEFCA" w14:textId="77777777" w:rsidR="00E41AA6" w:rsidRPr="0042445B" w:rsidRDefault="00E41AA6" w:rsidP="00285313">
            <w:pPr>
              <w:pStyle w:val="BodyText"/>
            </w:pPr>
            <w:proofErr w:type="spellStart"/>
            <w:r w:rsidRPr="0042445B">
              <w:t>CharacterString</w:t>
            </w:r>
            <w:proofErr w:type="spellEnd"/>
          </w:p>
        </w:tc>
        <w:tc>
          <w:tcPr>
            <w:tcW w:w="850" w:type="dxa"/>
          </w:tcPr>
          <w:p w14:paraId="0DFDEBDB" w14:textId="77777777" w:rsidR="00E41AA6" w:rsidRPr="0042445B" w:rsidRDefault="00E41AA6" w:rsidP="00285313">
            <w:pPr>
              <w:pStyle w:val="BodyText"/>
            </w:pPr>
            <w:r w:rsidRPr="0042445B">
              <w:t>in</w:t>
            </w:r>
          </w:p>
        </w:tc>
        <w:tc>
          <w:tcPr>
            <w:tcW w:w="1701" w:type="dxa"/>
          </w:tcPr>
          <w:p w14:paraId="614DF15F" w14:textId="77777777" w:rsidR="00E41AA6" w:rsidRPr="0042445B" w:rsidRDefault="00E41AA6" w:rsidP="005D7CF0">
            <w:pPr>
              <w:rPr>
                <w:sz w:val="18"/>
                <w:szCs w:val="18"/>
              </w:rPr>
            </w:pPr>
          </w:p>
        </w:tc>
      </w:tr>
      <w:tr w:rsidR="00E41AA6" w:rsidRPr="007410F4" w14:paraId="338331B2" w14:textId="77777777" w:rsidTr="005D7CF0">
        <w:trPr>
          <w:trHeight w:val="405"/>
        </w:trPr>
        <w:tc>
          <w:tcPr>
            <w:tcW w:w="1021" w:type="dxa"/>
          </w:tcPr>
          <w:p w14:paraId="3A03DD7B" w14:textId="77777777" w:rsidR="00E41AA6" w:rsidRPr="0042445B" w:rsidRDefault="00E41AA6" w:rsidP="00285313">
            <w:pPr>
              <w:pStyle w:val="BodyText"/>
            </w:pPr>
            <w:r w:rsidRPr="0042445B">
              <w:t>Parameter</w:t>
            </w:r>
          </w:p>
        </w:tc>
        <w:tc>
          <w:tcPr>
            <w:tcW w:w="1242" w:type="dxa"/>
          </w:tcPr>
          <w:p w14:paraId="41547BDE" w14:textId="77777777" w:rsidR="00E41AA6" w:rsidRPr="0042445B" w:rsidRDefault="00E41AA6" w:rsidP="00285313">
            <w:pPr>
              <w:pStyle w:val="BodyText"/>
            </w:pPr>
            <w:proofErr w:type="spellStart"/>
            <w:r w:rsidRPr="0042445B">
              <w:t>areaDataSet</w:t>
            </w:r>
            <w:proofErr w:type="spellEnd"/>
          </w:p>
        </w:tc>
        <w:tc>
          <w:tcPr>
            <w:tcW w:w="1560" w:type="dxa"/>
          </w:tcPr>
          <w:p w14:paraId="6120D8BA" w14:textId="77777777" w:rsidR="00E41AA6" w:rsidRPr="0042445B" w:rsidRDefault="00E41AA6" w:rsidP="00285313">
            <w:pPr>
              <w:pStyle w:val="BodyText"/>
            </w:pPr>
            <w:r w:rsidRPr="0042445B">
              <w:t>The area definition</w:t>
            </w:r>
          </w:p>
        </w:tc>
        <w:tc>
          <w:tcPr>
            <w:tcW w:w="850" w:type="dxa"/>
          </w:tcPr>
          <w:p w14:paraId="442732AF" w14:textId="77777777" w:rsidR="00E41AA6" w:rsidRPr="0042445B" w:rsidRDefault="00E41AA6" w:rsidP="00285313">
            <w:pPr>
              <w:pStyle w:val="BodyText"/>
            </w:pPr>
            <w:r w:rsidRPr="0042445B">
              <w:t>0..1</w:t>
            </w:r>
          </w:p>
        </w:tc>
        <w:tc>
          <w:tcPr>
            <w:tcW w:w="1276" w:type="dxa"/>
          </w:tcPr>
          <w:p w14:paraId="2ED0389F" w14:textId="77777777" w:rsidR="00E41AA6" w:rsidRPr="0042445B" w:rsidRDefault="00E41AA6" w:rsidP="00285313">
            <w:pPr>
              <w:pStyle w:val="BodyText"/>
            </w:pPr>
            <w:proofErr w:type="spellStart"/>
            <w:r w:rsidRPr="0042445B">
              <w:t>CharacterString</w:t>
            </w:r>
            <w:proofErr w:type="spellEnd"/>
          </w:p>
        </w:tc>
        <w:tc>
          <w:tcPr>
            <w:tcW w:w="850" w:type="dxa"/>
          </w:tcPr>
          <w:p w14:paraId="0518E576" w14:textId="77777777" w:rsidR="00E41AA6" w:rsidRPr="0042445B" w:rsidRDefault="00E41AA6" w:rsidP="00285313">
            <w:pPr>
              <w:pStyle w:val="BodyText"/>
            </w:pPr>
            <w:r w:rsidRPr="0042445B">
              <w:t>in</w:t>
            </w:r>
          </w:p>
        </w:tc>
        <w:tc>
          <w:tcPr>
            <w:tcW w:w="1701" w:type="dxa"/>
          </w:tcPr>
          <w:p w14:paraId="27278E1A" w14:textId="77777777" w:rsidR="00E41AA6" w:rsidRPr="0042445B" w:rsidRDefault="00E41AA6" w:rsidP="00285313">
            <w:pPr>
              <w:pStyle w:val="BodyText"/>
            </w:pPr>
            <w:r w:rsidRPr="0042445B">
              <w:t>WKT</w:t>
            </w:r>
          </w:p>
        </w:tc>
      </w:tr>
      <w:tr w:rsidR="00E41AA6" w:rsidRPr="007410F4" w14:paraId="6C9B9D5D" w14:textId="77777777" w:rsidTr="005D7CF0">
        <w:trPr>
          <w:trHeight w:val="414"/>
        </w:trPr>
        <w:tc>
          <w:tcPr>
            <w:tcW w:w="1021" w:type="dxa"/>
          </w:tcPr>
          <w:p w14:paraId="4B16409F" w14:textId="77777777" w:rsidR="00E41AA6" w:rsidRPr="0042445B" w:rsidRDefault="00E41AA6" w:rsidP="00285313">
            <w:pPr>
              <w:pStyle w:val="BodyText"/>
            </w:pPr>
            <w:r w:rsidRPr="0042445B">
              <w:lastRenderedPageBreak/>
              <w:t>Parameter</w:t>
            </w:r>
          </w:p>
        </w:tc>
        <w:tc>
          <w:tcPr>
            <w:tcW w:w="1242" w:type="dxa"/>
          </w:tcPr>
          <w:p w14:paraId="2FB9EE20" w14:textId="77777777" w:rsidR="00E41AA6" w:rsidRPr="0042445B" w:rsidRDefault="00E41AA6" w:rsidP="00285313">
            <w:pPr>
              <w:pStyle w:val="BodyText"/>
            </w:pPr>
            <w:proofErr w:type="spellStart"/>
            <w:r w:rsidRPr="0042445B">
              <w:t>nw_nm_messages</w:t>
            </w:r>
            <w:proofErr w:type="spellEnd"/>
          </w:p>
        </w:tc>
        <w:tc>
          <w:tcPr>
            <w:tcW w:w="1560" w:type="dxa"/>
          </w:tcPr>
          <w:p w14:paraId="0AF11DB7" w14:textId="77777777" w:rsidR="00E41AA6" w:rsidRPr="0042445B" w:rsidRDefault="00E41AA6" w:rsidP="00285313">
            <w:pPr>
              <w:pStyle w:val="BodyText"/>
            </w:pPr>
            <w:r w:rsidRPr="0042445B">
              <w:t>The messages returned for the area</w:t>
            </w:r>
          </w:p>
        </w:tc>
        <w:tc>
          <w:tcPr>
            <w:tcW w:w="850" w:type="dxa"/>
          </w:tcPr>
          <w:p w14:paraId="5F0DB205" w14:textId="77777777" w:rsidR="00E41AA6" w:rsidRPr="0042445B" w:rsidRDefault="00E41AA6" w:rsidP="00285313">
            <w:pPr>
              <w:pStyle w:val="BodyText"/>
            </w:pPr>
            <w:r w:rsidRPr="0042445B">
              <w:t>1</w:t>
            </w:r>
          </w:p>
        </w:tc>
        <w:tc>
          <w:tcPr>
            <w:tcW w:w="1276" w:type="dxa"/>
          </w:tcPr>
          <w:p w14:paraId="2B736107" w14:textId="77777777" w:rsidR="00E41AA6" w:rsidRPr="0042445B" w:rsidRDefault="00E41AA6" w:rsidP="00285313">
            <w:pPr>
              <w:pStyle w:val="BodyText"/>
            </w:pPr>
            <w:proofErr w:type="spellStart"/>
            <w:r w:rsidRPr="0042445B">
              <w:t>CharacterString</w:t>
            </w:r>
            <w:proofErr w:type="spellEnd"/>
          </w:p>
        </w:tc>
        <w:tc>
          <w:tcPr>
            <w:tcW w:w="850" w:type="dxa"/>
          </w:tcPr>
          <w:p w14:paraId="045E2303" w14:textId="77777777" w:rsidR="00E41AA6" w:rsidRPr="0042445B" w:rsidRDefault="00E41AA6" w:rsidP="00285313">
            <w:pPr>
              <w:pStyle w:val="BodyText"/>
            </w:pPr>
            <w:r w:rsidRPr="0042445B">
              <w:t>return</w:t>
            </w:r>
          </w:p>
        </w:tc>
        <w:tc>
          <w:tcPr>
            <w:tcW w:w="1701" w:type="dxa"/>
          </w:tcPr>
          <w:p w14:paraId="2A71D8EC" w14:textId="77777777" w:rsidR="00E41AA6" w:rsidRPr="0042445B" w:rsidRDefault="00E41AA6" w:rsidP="00285313">
            <w:pPr>
              <w:pStyle w:val="BodyText"/>
            </w:pPr>
            <w:r w:rsidRPr="00F908AA">
              <w:t>GML</w:t>
            </w:r>
          </w:p>
        </w:tc>
      </w:tr>
    </w:tbl>
    <w:p w14:paraId="28F0EB81" w14:textId="77777777" w:rsidR="00E41AA6" w:rsidRDefault="00E41AA6" w:rsidP="00285313">
      <w:pPr>
        <w:pStyle w:val="BodyText"/>
      </w:pPr>
    </w:p>
    <w:p w14:paraId="3D876AF0" w14:textId="77777777" w:rsidR="00E41AA6" w:rsidRPr="0042445B" w:rsidRDefault="00E41AA6" w:rsidP="00285313">
      <w:pPr>
        <w:pStyle w:val="BodyText"/>
      </w:pPr>
      <w:proofErr w:type="spellStart"/>
      <w:r>
        <w:t>Subscribe</w:t>
      </w:r>
      <w:r w:rsidRPr="0042445B">
        <w:t>_NW_</w:t>
      </w:r>
      <w:r>
        <w:t>Messages</w:t>
      </w:r>
      <w:proofErr w:type="spellEnd"/>
    </w:p>
    <w:p w14:paraId="0F1E4013" w14:textId="77777777" w:rsidR="00E41AA6" w:rsidRPr="0042445B" w:rsidRDefault="00E41AA6" w:rsidP="00285313">
      <w:pPr>
        <w:pStyle w:val="BodyText"/>
        <w:rPr>
          <w:rStyle w:val="SubtleReference"/>
        </w:rPr>
      </w:pPr>
      <w:proofErr w:type="spellStart"/>
      <w:r w:rsidRPr="0042445B">
        <w:rPr>
          <w:rStyle w:val="SubtleReference"/>
        </w:rPr>
        <w:t>operationType</w:t>
      </w:r>
      <w:proofErr w:type="spellEnd"/>
      <w:r w:rsidRPr="0042445B">
        <w:rPr>
          <w:rStyle w:val="SubtleReference"/>
        </w:rPr>
        <w:t xml:space="preserve">: SYNCHRONOUS </w:t>
      </w:r>
    </w:p>
    <w:p w14:paraId="168CC5F0" w14:textId="77777777" w:rsidR="00E41AA6" w:rsidRPr="0042445B" w:rsidRDefault="00E41AA6" w:rsidP="00285313">
      <w:pPr>
        <w:pStyle w:val="BodyText"/>
        <w:rPr>
          <w:rStyle w:val="SubtleReference"/>
        </w:rPr>
      </w:pPr>
      <w:proofErr w:type="spellStart"/>
      <w:r w:rsidRPr="0042445B">
        <w:rPr>
          <w:rStyle w:val="SubtleReference"/>
        </w:rPr>
        <w:t>operationOwner</w:t>
      </w:r>
      <w:proofErr w:type="spellEnd"/>
      <w:r w:rsidRPr="0042445B">
        <w:rPr>
          <w:rStyle w:val="SubtleReference"/>
        </w:rPr>
        <w:t>: SERVICE_PROVIDER</w:t>
      </w:r>
    </w:p>
    <w:tbl>
      <w:tblPr>
        <w:tblStyle w:val="TableGrid"/>
        <w:tblW w:w="8500" w:type="dxa"/>
        <w:tblLayout w:type="fixed"/>
        <w:tblLook w:val="04A0" w:firstRow="1" w:lastRow="0" w:firstColumn="1" w:lastColumn="0" w:noHBand="0" w:noVBand="1"/>
      </w:tblPr>
      <w:tblGrid>
        <w:gridCol w:w="1021"/>
        <w:gridCol w:w="1242"/>
        <w:gridCol w:w="1560"/>
        <w:gridCol w:w="850"/>
        <w:gridCol w:w="1276"/>
        <w:gridCol w:w="850"/>
        <w:gridCol w:w="1701"/>
      </w:tblGrid>
      <w:tr w:rsidR="00E41AA6" w:rsidRPr="007410F4" w14:paraId="068CF2D2" w14:textId="77777777" w:rsidTr="005D7CF0">
        <w:trPr>
          <w:trHeight w:val="504"/>
        </w:trPr>
        <w:tc>
          <w:tcPr>
            <w:tcW w:w="1021" w:type="dxa"/>
          </w:tcPr>
          <w:p w14:paraId="31924209" w14:textId="77777777" w:rsidR="00E41AA6" w:rsidRPr="0042445B" w:rsidRDefault="00E41AA6" w:rsidP="00285313">
            <w:pPr>
              <w:pStyle w:val="BodyText"/>
            </w:pPr>
            <w:r w:rsidRPr="0042445B">
              <w:t>Role Name</w:t>
            </w:r>
          </w:p>
        </w:tc>
        <w:tc>
          <w:tcPr>
            <w:tcW w:w="1242" w:type="dxa"/>
          </w:tcPr>
          <w:p w14:paraId="52FC0F70" w14:textId="77777777" w:rsidR="00E41AA6" w:rsidRPr="0042445B" w:rsidRDefault="00E41AA6" w:rsidP="00285313">
            <w:pPr>
              <w:pStyle w:val="BodyText"/>
            </w:pPr>
            <w:r w:rsidRPr="0042445B">
              <w:t>Name</w:t>
            </w:r>
          </w:p>
        </w:tc>
        <w:tc>
          <w:tcPr>
            <w:tcW w:w="1560" w:type="dxa"/>
          </w:tcPr>
          <w:p w14:paraId="2AE9100F" w14:textId="77777777" w:rsidR="00E41AA6" w:rsidRPr="0042445B" w:rsidRDefault="00E41AA6" w:rsidP="00285313">
            <w:pPr>
              <w:pStyle w:val="BodyText"/>
            </w:pPr>
            <w:r w:rsidRPr="0042445B">
              <w:t>Description</w:t>
            </w:r>
          </w:p>
        </w:tc>
        <w:tc>
          <w:tcPr>
            <w:tcW w:w="850" w:type="dxa"/>
          </w:tcPr>
          <w:p w14:paraId="4A19D728" w14:textId="77777777" w:rsidR="00E41AA6" w:rsidRPr="0042445B" w:rsidRDefault="00E41AA6" w:rsidP="00285313">
            <w:pPr>
              <w:pStyle w:val="BodyText"/>
            </w:pPr>
            <w:proofErr w:type="spellStart"/>
            <w:r w:rsidRPr="0042445B">
              <w:t>Mult</w:t>
            </w:r>
            <w:proofErr w:type="spellEnd"/>
          </w:p>
        </w:tc>
        <w:tc>
          <w:tcPr>
            <w:tcW w:w="1276" w:type="dxa"/>
          </w:tcPr>
          <w:p w14:paraId="5C5FECDA" w14:textId="77777777" w:rsidR="00E41AA6" w:rsidRPr="0042445B" w:rsidRDefault="00E41AA6" w:rsidP="00285313">
            <w:pPr>
              <w:pStyle w:val="BodyText"/>
            </w:pPr>
            <w:r w:rsidRPr="0042445B">
              <w:t>Type</w:t>
            </w:r>
          </w:p>
        </w:tc>
        <w:tc>
          <w:tcPr>
            <w:tcW w:w="850" w:type="dxa"/>
          </w:tcPr>
          <w:p w14:paraId="670E406F" w14:textId="77777777" w:rsidR="00E41AA6" w:rsidRPr="0042445B" w:rsidRDefault="00E41AA6" w:rsidP="00285313">
            <w:pPr>
              <w:pStyle w:val="BodyText"/>
            </w:pPr>
            <w:r w:rsidRPr="0042445B">
              <w:t>Direction</w:t>
            </w:r>
          </w:p>
        </w:tc>
        <w:tc>
          <w:tcPr>
            <w:tcW w:w="1701" w:type="dxa"/>
          </w:tcPr>
          <w:p w14:paraId="28CAC8FA" w14:textId="77777777" w:rsidR="00E41AA6" w:rsidRPr="0042445B" w:rsidRDefault="00E41AA6" w:rsidP="00285313">
            <w:pPr>
              <w:pStyle w:val="BodyText"/>
            </w:pPr>
            <w:r w:rsidRPr="0042445B">
              <w:t>Encoding</w:t>
            </w:r>
          </w:p>
        </w:tc>
      </w:tr>
      <w:tr w:rsidR="00E41AA6" w:rsidRPr="007410F4" w14:paraId="6D877492" w14:textId="77777777" w:rsidTr="005D7CF0">
        <w:trPr>
          <w:trHeight w:val="414"/>
        </w:trPr>
        <w:tc>
          <w:tcPr>
            <w:tcW w:w="1021" w:type="dxa"/>
          </w:tcPr>
          <w:p w14:paraId="684C0727" w14:textId="77777777" w:rsidR="00E41AA6" w:rsidRPr="0042445B" w:rsidRDefault="00E41AA6" w:rsidP="00285313">
            <w:pPr>
              <w:pStyle w:val="BodyText"/>
            </w:pPr>
            <w:r w:rsidRPr="0042445B">
              <w:t>Operation</w:t>
            </w:r>
          </w:p>
        </w:tc>
        <w:tc>
          <w:tcPr>
            <w:tcW w:w="1242" w:type="dxa"/>
          </w:tcPr>
          <w:p w14:paraId="47BB4B18" w14:textId="77777777" w:rsidR="00E41AA6" w:rsidRPr="0042445B" w:rsidRDefault="00E41AA6" w:rsidP="00285313">
            <w:pPr>
              <w:pStyle w:val="BodyText"/>
            </w:pPr>
            <w:proofErr w:type="spellStart"/>
            <w:r w:rsidRPr="0042445B">
              <w:t>Get_NW_Messages</w:t>
            </w:r>
            <w:proofErr w:type="spellEnd"/>
          </w:p>
        </w:tc>
        <w:tc>
          <w:tcPr>
            <w:tcW w:w="1560" w:type="dxa"/>
          </w:tcPr>
          <w:p w14:paraId="773CAF15" w14:textId="77777777" w:rsidR="00E41AA6" w:rsidRPr="0042445B" w:rsidRDefault="00E41AA6" w:rsidP="00285313">
            <w:pPr>
              <w:pStyle w:val="BodyText"/>
            </w:pPr>
            <w:r>
              <w:t xml:space="preserve">Opens a long-polling Subscription. The service provides Navigational Warning updates as Response. </w:t>
            </w:r>
          </w:p>
        </w:tc>
        <w:tc>
          <w:tcPr>
            <w:tcW w:w="850" w:type="dxa"/>
          </w:tcPr>
          <w:p w14:paraId="6E15B0E3" w14:textId="77777777" w:rsidR="00E41AA6" w:rsidRPr="0042445B" w:rsidRDefault="00E41AA6" w:rsidP="00285313">
            <w:pPr>
              <w:pStyle w:val="BodyText"/>
            </w:pPr>
            <w:r w:rsidRPr="0042445B">
              <w:t>-</w:t>
            </w:r>
          </w:p>
        </w:tc>
        <w:tc>
          <w:tcPr>
            <w:tcW w:w="1276" w:type="dxa"/>
          </w:tcPr>
          <w:p w14:paraId="512FE2D5" w14:textId="77777777" w:rsidR="00E41AA6" w:rsidRPr="0042445B" w:rsidRDefault="00E41AA6" w:rsidP="00285313">
            <w:pPr>
              <w:pStyle w:val="BodyText"/>
            </w:pPr>
            <w:r w:rsidRPr="0042445B">
              <w:t>-</w:t>
            </w:r>
          </w:p>
        </w:tc>
        <w:tc>
          <w:tcPr>
            <w:tcW w:w="850" w:type="dxa"/>
          </w:tcPr>
          <w:p w14:paraId="351DF4A6" w14:textId="77777777" w:rsidR="00E41AA6" w:rsidRPr="0042445B" w:rsidRDefault="00E41AA6" w:rsidP="00285313">
            <w:pPr>
              <w:pStyle w:val="BodyText"/>
            </w:pPr>
            <w:r w:rsidRPr="0042445B">
              <w:t>-</w:t>
            </w:r>
          </w:p>
        </w:tc>
        <w:tc>
          <w:tcPr>
            <w:tcW w:w="1701" w:type="dxa"/>
          </w:tcPr>
          <w:p w14:paraId="593F5407" w14:textId="77777777" w:rsidR="00E41AA6" w:rsidRPr="0042445B" w:rsidRDefault="00E41AA6" w:rsidP="005D7CF0">
            <w:pPr>
              <w:rPr>
                <w:sz w:val="18"/>
                <w:szCs w:val="18"/>
              </w:rPr>
            </w:pPr>
          </w:p>
        </w:tc>
      </w:tr>
      <w:tr w:rsidR="00E41AA6" w:rsidRPr="007410F4" w14:paraId="0EA43C1E" w14:textId="77777777" w:rsidTr="005D7CF0">
        <w:trPr>
          <w:trHeight w:val="414"/>
        </w:trPr>
        <w:tc>
          <w:tcPr>
            <w:tcW w:w="1021" w:type="dxa"/>
          </w:tcPr>
          <w:p w14:paraId="008FF1B0" w14:textId="77777777" w:rsidR="00E41AA6" w:rsidRPr="0042445B" w:rsidRDefault="00E41AA6" w:rsidP="00285313">
            <w:pPr>
              <w:pStyle w:val="BodyText"/>
            </w:pPr>
            <w:r w:rsidRPr="0042445B">
              <w:t>Parameter</w:t>
            </w:r>
          </w:p>
        </w:tc>
        <w:tc>
          <w:tcPr>
            <w:tcW w:w="1242" w:type="dxa"/>
          </w:tcPr>
          <w:p w14:paraId="2D37AF1A" w14:textId="77777777" w:rsidR="00E41AA6" w:rsidRPr="0042445B" w:rsidRDefault="00E41AA6" w:rsidP="00285313">
            <w:pPr>
              <w:pStyle w:val="BodyText"/>
            </w:pPr>
            <w:proofErr w:type="spellStart"/>
            <w:r w:rsidRPr="0042445B">
              <w:t>sessionID</w:t>
            </w:r>
            <w:proofErr w:type="spellEnd"/>
          </w:p>
        </w:tc>
        <w:tc>
          <w:tcPr>
            <w:tcW w:w="1560" w:type="dxa"/>
          </w:tcPr>
          <w:p w14:paraId="4C453AD5" w14:textId="77777777" w:rsidR="00E41AA6" w:rsidRPr="0042445B" w:rsidRDefault="00E41AA6" w:rsidP="00285313">
            <w:pPr>
              <w:pStyle w:val="BodyText"/>
            </w:pPr>
            <w:r w:rsidRPr="0042445B">
              <w:t>To identify the active session</w:t>
            </w:r>
          </w:p>
        </w:tc>
        <w:tc>
          <w:tcPr>
            <w:tcW w:w="850" w:type="dxa"/>
          </w:tcPr>
          <w:p w14:paraId="16EEE02D" w14:textId="77777777" w:rsidR="00E41AA6" w:rsidRPr="0042445B" w:rsidRDefault="00E41AA6" w:rsidP="00285313">
            <w:pPr>
              <w:pStyle w:val="BodyText"/>
            </w:pPr>
            <w:r w:rsidRPr="0042445B">
              <w:t>1</w:t>
            </w:r>
          </w:p>
        </w:tc>
        <w:tc>
          <w:tcPr>
            <w:tcW w:w="1276" w:type="dxa"/>
          </w:tcPr>
          <w:p w14:paraId="651AD199" w14:textId="77777777" w:rsidR="00E41AA6" w:rsidRPr="0042445B" w:rsidRDefault="00E41AA6" w:rsidP="00285313">
            <w:pPr>
              <w:pStyle w:val="BodyText"/>
            </w:pPr>
            <w:proofErr w:type="spellStart"/>
            <w:r w:rsidRPr="0042445B">
              <w:t>CharacterString</w:t>
            </w:r>
            <w:proofErr w:type="spellEnd"/>
          </w:p>
        </w:tc>
        <w:tc>
          <w:tcPr>
            <w:tcW w:w="850" w:type="dxa"/>
          </w:tcPr>
          <w:p w14:paraId="50E7BDB6" w14:textId="77777777" w:rsidR="00E41AA6" w:rsidRPr="0042445B" w:rsidRDefault="00E41AA6" w:rsidP="00285313">
            <w:pPr>
              <w:pStyle w:val="BodyText"/>
            </w:pPr>
            <w:r w:rsidRPr="0042445B">
              <w:t>in</w:t>
            </w:r>
          </w:p>
        </w:tc>
        <w:tc>
          <w:tcPr>
            <w:tcW w:w="1701" w:type="dxa"/>
          </w:tcPr>
          <w:p w14:paraId="6565D4DE" w14:textId="77777777" w:rsidR="00E41AA6" w:rsidRPr="0042445B" w:rsidRDefault="00E41AA6" w:rsidP="005D7CF0">
            <w:pPr>
              <w:rPr>
                <w:sz w:val="18"/>
                <w:szCs w:val="18"/>
              </w:rPr>
            </w:pPr>
          </w:p>
        </w:tc>
      </w:tr>
      <w:tr w:rsidR="00E41AA6" w:rsidRPr="007410F4" w14:paraId="500CCE26" w14:textId="77777777" w:rsidTr="005D7CF0">
        <w:trPr>
          <w:trHeight w:val="405"/>
        </w:trPr>
        <w:tc>
          <w:tcPr>
            <w:tcW w:w="1021" w:type="dxa"/>
          </w:tcPr>
          <w:p w14:paraId="4DA2FADA" w14:textId="77777777" w:rsidR="00E41AA6" w:rsidRPr="0042445B" w:rsidRDefault="00E41AA6" w:rsidP="00285313">
            <w:pPr>
              <w:pStyle w:val="BodyText"/>
            </w:pPr>
            <w:r w:rsidRPr="0042445B">
              <w:t>Parameter</w:t>
            </w:r>
          </w:p>
        </w:tc>
        <w:tc>
          <w:tcPr>
            <w:tcW w:w="1242" w:type="dxa"/>
          </w:tcPr>
          <w:p w14:paraId="007E60A1" w14:textId="77777777" w:rsidR="00E41AA6" w:rsidRPr="0042445B" w:rsidRDefault="00E41AA6" w:rsidP="00285313">
            <w:pPr>
              <w:pStyle w:val="BodyText"/>
            </w:pPr>
            <w:proofErr w:type="spellStart"/>
            <w:r w:rsidRPr="0042445B">
              <w:t>areaDataSet</w:t>
            </w:r>
            <w:proofErr w:type="spellEnd"/>
          </w:p>
        </w:tc>
        <w:tc>
          <w:tcPr>
            <w:tcW w:w="1560" w:type="dxa"/>
          </w:tcPr>
          <w:p w14:paraId="0B4DB564" w14:textId="77777777" w:rsidR="00E41AA6" w:rsidRPr="0042445B" w:rsidRDefault="00E41AA6" w:rsidP="00285313">
            <w:pPr>
              <w:pStyle w:val="BodyText"/>
            </w:pPr>
            <w:r w:rsidRPr="0042445B">
              <w:t>The area definition</w:t>
            </w:r>
          </w:p>
        </w:tc>
        <w:tc>
          <w:tcPr>
            <w:tcW w:w="850" w:type="dxa"/>
          </w:tcPr>
          <w:p w14:paraId="3F3479F2" w14:textId="77777777" w:rsidR="00E41AA6" w:rsidRPr="0042445B" w:rsidRDefault="00E41AA6" w:rsidP="00285313">
            <w:pPr>
              <w:pStyle w:val="BodyText"/>
            </w:pPr>
            <w:r w:rsidRPr="0042445B">
              <w:t>0..1</w:t>
            </w:r>
          </w:p>
        </w:tc>
        <w:tc>
          <w:tcPr>
            <w:tcW w:w="1276" w:type="dxa"/>
          </w:tcPr>
          <w:p w14:paraId="5B371C3B" w14:textId="77777777" w:rsidR="00E41AA6" w:rsidRPr="0042445B" w:rsidRDefault="00E41AA6" w:rsidP="00285313">
            <w:pPr>
              <w:pStyle w:val="BodyText"/>
            </w:pPr>
            <w:proofErr w:type="spellStart"/>
            <w:r w:rsidRPr="0042445B">
              <w:t>CharacterString</w:t>
            </w:r>
            <w:proofErr w:type="spellEnd"/>
          </w:p>
        </w:tc>
        <w:tc>
          <w:tcPr>
            <w:tcW w:w="850" w:type="dxa"/>
          </w:tcPr>
          <w:p w14:paraId="6C42E763" w14:textId="77777777" w:rsidR="00E41AA6" w:rsidRPr="0042445B" w:rsidRDefault="00E41AA6" w:rsidP="00285313">
            <w:pPr>
              <w:pStyle w:val="BodyText"/>
            </w:pPr>
            <w:r w:rsidRPr="0042445B">
              <w:t>in</w:t>
            </w:r>
          </w:p>
        </w:tc>
        <w:tc>
          <w:tcPr>
            <w:tcW w:w="1701" w:type="dxa"/>
          </w:tcPr>
          <w:p w14:paraId="5DB3A6A4" w14:textId="77777777" w:rsidR="00E41AA6" w:rsidRPr="0042445B" w:rsidRDefault="00E41AA6" w:rsidP="00285313">
            <w:pPr>
              <w:pStyle w:val="BodyText"/>
            </w:pPr>
            <w:r w:rsidRPr="0042445B">
              <w:t>WKT</w:t>
            </w:r>
          </w:p>
        </w:tc>
      </w:tr>
      <w:tr w:rsidR="00E41AA6" w:rsidRPr="007410F4" w14:paraId="6C1A542C" w14:textId="77777777" w:rsidTr="005D7CF0">
        <w:trPr>
          <w:trHeight w:val="414"/>
        </w:trPr>
        <w:tc>
          <w:tcPr>
            <w:tcW w:w="1021" w:type="dxa"/>
          </w:tcPr>
          <w:p w14:paraId="164D6937" w14:textId="77777777" w:rsidR="00E41AA6" w:rsidRPr="0042445B" w:rsidRDefault="00E41AA6" w:rsidP="00285313">
            <w:pPr>
              <w:pStyle w:val="BodyText"/>
            </w:pPr>
            <w:r w:rsidRPr="0042445B">
              <w:t>Parameter</w:t>
            </w:r>
          </w:p>
        </w:tc>
        <w:tc>
          <w:tcPr>
            <w:tcW w:w="1242" w:type="dxa"/>
          </w:tcPr>
          <w:p w14:paraId="32CA1B8D" w14:textId="77777777" w:rsidR="00E41AA6" w:rsidRPr="0042445B" w:rsidRDefault="00E41AA6" w:rsidP="00285313">
            <w:pPr>
              <w:pStyle w:val="BodyText"/>
            </w:pPr>
            <w:proofErr w:type="spellStart"/>
            <w:r w:rsidRPr="0042445B">
              <w:t>nw_nm_messages</w:t>
            </w:r>
            <w:proofErr w:type="spellEnd"/>
          </w:p>
        </w:tc>
        <w:tc>
          <w:tcPr>
            <w:tcW w:w="1560" w:type="dxa"/>
          </w:tcPr>
          <w:p w14:paraId="0E8FCF63" w14:textId="77777777" w:rsidR="00E41AA6" w:rsidRPr="0042445B" w:rsidRDefault="00E41AA6" w:rsidP="00285313">
            <w:pPr>
              <w:pStyle w:val="BodyText"/>
            </w:pPr>
            <w:r w:rsidRPr="0042445B">
              <w:t>The messages returned for the area</w:t>
            </w:r>
          </w:p>
        </w:tc>
        <w:tc>
          <w:tcPr>
            <w:tcW w:w="850" w:type="dxa"/>
          </w:tcPr>
          <w:p w14:paraId="3E13B04D" w14:textId="77777777" w:rsidR="00E41AA6" w:rsidRPr="0042445B" w:rsidRDefault="00E41AA6" w:rsidP="00285313">
            <w:pPr>
              <w:pStyle w:val="BodyText"/>
            </w:pPr>
            <w:r w:rsidRPr="0042445B">
              <w:t>1</w:t>
            </w:r>
          </w:p>
        </w:tc>
        <w:tc>
          <w:tcPr>
            <w:tcW w:w="1276" w:type="dxa"/>
          </w:tcPr>
          <w:p w14:paraId="145F61AD" w14:textId="77777777" w:rsidR="00E41AA6" w:rsidRPr="0042445B" w:rsidRDefault="00E41AA6" w:rsidP="00285313">
            <w:pPr>
              <w:pStyle w:val="BodyText"/>
            </w:pPr>
            <w:proofErr w:type="spellStart"/>
            <w:r w:rsidRPr="0042445B">
              <w:t>CharacterString</w:t>
            </w:r>
            <w:proofErr w:type="spellEnd"/>
          </w:p>
        </w:tc>
        <w:tc>
          <w:tcPr>
            <w:tcW w:w="850" w:type="dxa"/>
          </w:tcPr>
          <w:p w14:paraId="2A32EC50" w14:textId="77777777" w:rsidR="00E41AA6" w:rsidRPr="0042445B" w:rsidRDefault="00E41AA6" w:rsidP="00285313">
            <w:pPr>
              <w:pStyle w:val="BodyText"/>
            </w:pPr>
            <w:r w:rsidRPr="0042445B">
              <w:t>return</w:t>
            </w:r>
          </w:p>
        </w:tc>
        <w:tc>
          <w:tcPr>
            <w:tcW w:w="1701" w:type="dxa"/>
          </w:tcPr>
          <w:p w14:paraId="7EA070F5" w14:textId="77777777" w:rsidR="00E41AA6" w:rsidRPr="0042445B" w:rsidRDefault="00E41AA6" w:rsidP="00285313">
            <w:pPr>
              <w:pStyle w:val="BodyText"/>
            </w:pPr>
            <w:r w:rsidRPr="00F908AA">
              <w:t>GML</w:t>
            </w:r>
          </w:p>
        </w:tc>
      </w:tr>
    </w:tbl>
    <w:p w14:paraId="491C0ED9" w14:textId="77777777" w:rsidR="00E41AA6" w:rsidRDefault="00E41AA6" w:rsidP="00285313">
      <w:pPr>
        <w:pStyle w:val="BodyText"/>
      </w:pPr>
    </w:p>
    <w:p w14:paraId="54728634" w14:textId="77777777" w:rsidR="00E41AA6" w:rsidRDefault="00E41AA6" w:rsidP="00285313">
      <w:pPr>
        <w:pStyle w:val="BodyText"/>
      </w:pPr>
      <w:r>
        <w:t xml:space="preserve">The implemented operations open the possibility for keeping track of the consumers by the service via the session id. </w:t>
      </w:r>
    </w:p>
    <w:p w14:paraId="48935DE5" w14:textId="77777777" w:rsidR="00E41AA6" w:rsidRDefault="00E41AA6" w:rsidP="00285313">
      <w:pPr>
        <w:pStyle w:val="BodyText"/>
        <w:rPr>
          <w:rStyle w:val="IntenseEmphasis"/>
        </w:rPr>
      </w:pPr>
      <w:r>
        <w:rPr>
          <w:rStyle w:val="IntenseEmphasis"/>
        </w:rPr>
        <w:t>Communication Patterns</w:t>
      </w:r>
    </w:p>
    <w:p w14:paraId="5885EE56" w14:textId="60620696" w:rsidR="00E41AA6" w:rsidRDefault="00E41AA6" w:rsidP="00285313">
      <w:pPr>
        <w:pStyle w:val="BodyText"/>
      </w:pPr>
      <w:r>
        <w:t xml:space="preserve">The described operations allow two communication patterns between service and consumer. The first pattern (shown in </w:t>
      </w:r>
      <w:r>
        <w:fldChar w:fldCharType="begin"/>
      </w:r>
      <w:r>
        <w:instrText xml:space="preserve"> REF _Ref15819971 \h </w:instrText>
      </w:r>
      <w:r>
        <w:fldChar w:fldCharType="separate"/>
      </w:r>
      <w:r w:rsidR="000673CB">
        <w:t xml:space="preserve">Figure </w:t>
      </w:r>
      <w:r w:rsidR="000673CB">
        <w:rPr>
          <w:noProof/>
        </w:rPr>
        <w:t>8</w:t>
      </w:r>
      <w:r>
        <w:fldChar w:fldCharType="end"/>
      </w:r>
      <w:r>
        <w:t xml:space="preserve">) is a simple polling pattern. After starting the session and transmitting the metadata, the consumer can use the </w:t>
      </w:r>
      <w:proofErr w:type="spellStart"/>
      <w:r>
        <w:t>Get_NW_Messages</w:t>
      </w:r>
      <w:proofErr w:type="spellEnd"/>
      <w:r>
        <w:t xml:space="preserve"> command to receive all navigational warnings. The Service can keep track of the messages that are known to the consumer via the session ID and only submit messages updates, when the client repeats the </w:t>
      </w:r>
      <w:proofErr w:type="spellStart"/>
      <w:r>
        <w:t>Get_NW_Messages</w:t>
      </w:r>
      <w:proofErr w:type="spellEnd"/>
      <w:r>
        <w:t xml:space="preserve"> command in fixed periods. </w:t>
      </w:r>
    </w:p>
    <w:p w14:paraId="25153269" w14:textId="0408E2CC" w:rsidR="00E41AA6" w:rsidRDefault="00E41AA6" w:rsidP="00285313">
      <w:pPr>
        <w:pStyle w:val="BodyText"/>
      </w:pPr>
      <w:r>
        <w:t xml:space="preserve">The second possible pattern is the long-polling pattern (shown in </w:t>
      </w:r>
      <w:r>
        <w:fldChar w:fldCharType="begin"/>
      </w:r>
      <w:r>
        <w:instrText xml:space="preserve"> REF _Ref15820164 \h </w:instrText>
      </w:r>
      <w:r>
        <w:fldChar w:fldCharType="separate"/>
      </w:r>
      <w:r w:rsidR="000673CB">
        <w:t xml:space="preserve">Figure </w:t>
      </w:r>
      <w:r w:rsidR="000673CB">
        <w:rPr>
          <w:noProof/>
        </w:rPr>
        <w:t>9</w:t>
      </w:r>
      <w:r>
        <w:fldChar w:fldCharType="end"/>
      </w:r>
      <w:r>
        <w:t xml:space="preserve">). After opening the session and receiving the metadata, the consumer executes </w:t>
      </w:r>
      <w:proofErr w:type="spellStart"/>
      <w:r>
        <w:t>Get_NW_Messages</w:t>
      </w:r>
      <w:proofErr w:type="spellEnd"/>
      <w:r>
        <w:t xml:space="preserve"> once, to get the current set of Navigational Warnings. After that, the consumer opens a long-polling request with </w:t>
      </w:r>
      <w:proofErr w:type="spellStart"/>
      <w:r>
        <w:t>Subscribe_NW_Messages</w:t>
      </w:r>
      <w:proofErr w:type="spellEnd"/>
      <w:r>
        <w:t xml:space="preserve">. This is a simple request that is answered by the server only after an update of the Navigational Warnings set is published. This solution ensures that the consumer immediately gets notified, when an update is available. That means there is no fixed time period which must pass before a new request is executed as realized by the polling pattern. After an update was received, the consumer directly starts a new </w:t>
      </w:r>
      <w:proofErr w:type="spellStart"/>
      <w:r>
        <w:t>Subscribe_NW_Messages</w:t>
      </w:r>
      <w:proofErr w:type="spellEnd"/>
      <w:r>
        <w:t xml:space="preserve"> command to wait for the next update.  </w:t>
      </w:r>
    </w:p>
    <w:p w14:paraId="393B9F77" w14:textId="77777777" w:rsidR="00E41AA6" w:rsidRDefault="00E41AA6" w:rsidP="00F15F46">
      <w:pPr>
        <w:pStyle w:val="BodyText"/>
        <w:jc w:val="center"/>
      </w:pPr>
      <w:r>
        <w:rPr>
          <w:noProof/>
          <w:lang w:val="en-US" w:eastAsia="en-US"/>
        </w:rPr>
        <w:lastRenderedPageBreak/>
        <w:drawing>
          <wp:inline distT="0" distB="0" distL="0" distR="0" wp14:anchorId="2BE0FE51" wp14:editId="718937DF">
            <wp:extent cx="3183286" cy="3647801"/>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A_2019-08-03_19-49-46.png"/>
                    <pic:cNvPicPr/>
                  </pic:nvPicPr>
                  <pic:blipFill>
                    <a:blip r:embed="rId15"/>
                    <a:stretch>
                      <a:fillRect/>
                    </a:stretch>
                  </pic:blipFill>
                  <pic:spPr>
                    <a:xfrm>
                      <a:off x="0" y="0"/>
                      <a:ext cx="3183286" cy="3647801"/>
                    </a:xfrm>
                    <a:prstGeom prst="rect">
                      <a:avLst/>
                    </a:prstGeom>
                  </pic:spPr>
                </pic:pic>
              </a:graphicData>
            </a:graphic>
          </wp:inline>
        </w:drawing>
      </w:r>
    </w:p>
    <w:p w14:paraId="3F617059" w14:textId="205DDD29" w:rsidR="00E41AA6" w:rsidRDefault="00E41AA6" w:rsidP="00E41AA6">
      <w:pPr>
        <w:pStyle w:val="Caption"/>
        <w:jc w:val="center"/>
      </w:pPr>
      <w:bookmarkStart w:id="7" w:name="_Ref15819971"/>
      <w:r>
        <w:t xml:space="preserve">Figure </w:t>
      </w:r>
      <w:r>
        <w:fldChar w:fldCharType="begin"/>
      </w:r>
      <w:r>
        <w:instrText xml:space="preserve"> SEQ Figure \* ARABIC </w:instrText>
      </w:r>
      <w:r>
        <w:fldChar w:fldCharType="separate"/>
      </w:r>
      <w:r w:rsidR="000673CB">
        <w:rPr>
          <w:noProof/>
        </w:rPr>
        <w:t>8</w:t>
      </w:r>
      <w:r>
        <w:rPr>
          <w:noProof/>
        </w:rPr>
        <w:fldChar w:fldCharType="end"/>
      </w:r>
      <w:bookmarkEnd w:id="7"/>
      <w:r>
        <w:t>: Polling of the Navigational Warning Messages</w:t>
      </w:r>
    </w:p>
    <w:p w14:paraId="181FD130" w14:textId="77777777" w:rsidR="00E41AA6" w:rsidRDefault="00E41AA6" w:rsidP="00F15F46">
      <w:pPr>
        <w:pStyle w:val="BodyText"/>
        <w:jc w:val="center"/>
      </w:pPr>
      <w:r>
        <w:rPr>
          <w:noProof/>
          <w:lang w:val="en-US" w:eastAsia="en-US"/>
        </w:rPr>
        <w:drawing>
          <wp:inline distT="0" distB="0" distL="0" distR="0" wp14:anchorId="38316D09" wp14:editId="5B30B208">
            <wp:extent cx="3242733" cy="3839861"/>
            <wp:effectExtent l="0" t="0" r="0" b="8255"/>
            <wp:docPr id="6" name="Grafik 6"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A_2019-08-03_19-50-33.png"/>
                    <pic:cNvPicPr/>
                  </pic:nvPicPr>
                  <pic:blipFill>
                    <a:blip r:embed="rId16"/>
                    <a:stretch>
                      <a:fillRect/>
                    </a:stretch>
                  </pic:blipFill>
                  <pic:spPr>
                    <a:xfrm>
                      <a:off x="0" y="0"/>
                      <a:ext cx="3242733" cy="3839861"/>
                    </a:xfrm>
                    <a:prstGeom prst="rect">
                      <a:avLst/>
                    </a:prstGeom>
                  </pic:spPr>
                </pic:pic>
              </a:graphicData>
            </a:graphic>
          </wp:inline>
        </w:drawing>
      </w:r>
    </w:p>
    <w:p w14:paraId="17A8E386" w14:textId="4987A1BF" w:rsidR="00E41AA6" w:rsidRPr="00B6709C" w:rsidRDefault="00E41AA6" w:rsidP="00E41AA6">
      <w:pPr>
        <w:pStyle w:val="Caption"/>
        <w:jc w:val="center"/>
      </w:pPr>
      <w:bookmarkStart w:id="8" w:name="_Ref15820164"/>
      <w:r>
        <w:t xml:space="preserve">Figure </w:t>
      </w:r>
      <w:r>
        <w:fldChar w:fldCharType="begin"/>
      </w:r>
      <w:r>
        <w:instrText xml:space="preserve"> SEQ Figure \* ARABIC </w:instrText>
      </w:r>
      <w:r>
        <w:fldChar w:fldCharType="separate"/>
      </w:r>
      <w:r w:rsidR="000673CB">
        <w:rPr>
          <w:noProof/>
        </w:rPr>
        <w:t>9</w:t>
      </w:r>
      <w:r>
        <w:rPr>
          <w:noProof/>
        </w:rPr>
        <w:fldChar w:fldCharType="end"/>
      </w:r>
      <w:bookmarkEnd w:id="8"/>
      <w:r>
        <w:t>: Long-Polling of the Navigational Warning Messages</w:t>
      </w:r>
    </w:p>
    <w:p w14:paraId="452D514A" w14:textId="3BAF523D" w:rsidR="00E41AA6" w:rsidRDefault="00E41AA6" w:rsidP="00285313">
      <w:pPr>
        <w:pStyle w:val="BodyText"/>
        <w:rPr>
          <w:lang w:eastAsia="de-DE"/>
        </w:rPr>
      </w:pPr>
      <w:r>
        <w:rPr>
          <w:lang w:eastAsia="de-DE"/>
        </w:rPr>
        <w:t>Both patterns are mandatory for the service. Although the</w:t>
      </w:r>
      <w:r w:rsidR="00567986">
        <w:rPr>
          <w:lang w:eastAsia="de-DE"/>
        </w:rPr>
        <w:t xml:space="preserve"> </w:t>
      </w:r>
      <w:r>
        <w:rPr>
          <w:lang w:eastAsia="de-DE"/>
        </w:rPr>
        <w:t xml:space="preserve">long-polling is preferable because of the immediate notification, it is not always possible to realize such a </w:t>
      </w:r>
      <w:proofErr w:type="gramStart"/>
      <w:r>
        <w:rPr>
          <w:lang w:eastAsia="de-DE"/>
        </w:rPr>
        <w:t>long lasting</w:t>
      </w:r>
      <w:proofErr w:type="gramEnd"/>
      <w:r>
        <w:rPr>
          <w:lang w:eastAsia="de-DE"/>
        </w:rPr>
        <w:t xml:space="preserve"> connection on the client side. Bad connections can be a cause of connections failures. Also, the polling method is an easy way to keep implementations of the consumer component simple. </w:t>
      </w:r>
    </w:p>
    <w:p w14:paraId="769453E7" w14:textId="0AFE67D5" w:rsidR="00E41AA6" w:rsidRDefault="00E41AA6" w:rsidP="00285313">
      <w:pPr>
        <w:pStyle w:val="BodyText"/>
      </w:pPr>
      <w:r>
        <w:rPr>
          <w:lang w:eastAsia="de-DE"/>
        </w:rPr>
        <w:lastRenderedPageBreak/>
        <w:t>Note that both patterns</w:t>
      </w:r>
      <w:r w:rsidR="00A00997">
        <w:rPr>
          <w:lang w:eastAsia="de-DE"/>
        </w:rPr>
        <w:t xml:space="preserve"> </w:t>
      </w:r>
      <w:r>
        <w:rPr>
          <w:lang w:eastAsia="de-DE"/>
        </w:rPr>
        <w:t>can also be used session-less (without executing the session commands)</w:t>
      </w:r>
      <w:r w:rsidR="00A00997">
        <w:rPr>
          <w:lang w:eastAsia="de-DE"/>
        </w:rPr>
        <w:t xml:space="preserve"> theoretically</w:t>
      </w:r>
      <w:r>
        <w:rPr>
          <w:lang w:eastAsia="de-DE"/>
        </w:rPr>
        <w:t xml:space="preserve"> to provide a more lightweight communication pattern. In this case the service does not keep track of the transmitted warnings and the information state of the consumer.</w:t>
      </w:r>
    </w:p>
    <w:p w14:paraId="3363C4D2" w14:textId="77777777" w:rsidR="00E41AA6" w:rsidRPr="00C74455" w:rsidRDefault="00E41AA6" w:rsidP="00285313">
      <w:pPr>
        <w:pStyle w:val="BodyText"/>
      </w:pPr>
    </w:p>
    <w:p w14:paraId="15828887" w14:textId="2C9C9FF4" w:rsidR="00E41AA6" w:rsidRDefault="00BF06AF" w:rsidP="00285313">
      <w:pPr>
        <w:pStyle w:val="Heading2"/>
      </w:pPr>
      <w:bookmarkStart w:id="9" w:name="_Ref17285203"/>
      <w:r>
        <w:t>Handling Additional Metadata such as Signatures</w:t>
      </w:r>
      <w:bookmarkEnd w:id="9"/>
    </w:p>
    <w:p w14:paraId="4BBC6D85" w14:textId="11A2B8F6" w:rsidR="00E41AA6" w:rsidRDefault="00E41AA6" w:rsidP="00285313">
      <w:pPr>
        <w:pStyle w:val="BodyText"/>
      </w:pPr>
      <w:r>
        <w:t xml:space="preserve">As pointed out in section </w:t>
      </w:r>
      <w:r w:rsidR="00A00997">
        <w:fldChar w:fldCharType="begin"/>
      </w:r>
      <w:r w:rsidR="00A00997">
        <w:instrText xml:space="preserve"> REF _Ref15748866 \r \h </w:instrText>
      </w:r>
      <w:r w:rsidR="00A00997">
        <w:fldChar w:fldCharType="separate"/>
      </w:r>
      <w:r w:rsidR="00A00997">
        <w:t>4.4</w:t>
      </w:r>
      <w:r w:rsidR="00A00997">
        <w:fldChar w:fldCharType="end"/>
      </w:r>
      <w:r>
        <w:t xml:space="preserve">, if support metadata needs to be transmitted with each dataset, additional changes need to be made to the transmitted data. In this paper, two possibilities will be proposed for that. </w:t>
      </w:r>
    </w:p>
    <w:p w14:paraId="16C2764A" w14:textId="616645B0" w:rsidR="00E41AA6" w:rsidRPr="00E205AC" w:rsidRDefault="00E41AA6" w:rsidP="00285313">
      <w:pPr>
        <w:pStyle w:val="BodyText"/>
      </w:pPr>
      <w:r>
        <w:t xml:space="preserve">The first solution is shown in </w:t>
      </w:r>
      <w:r>
        <w:fldChar w:fldCharType="begin"/>
      </w:r>
      <w:r>
        <w:instrText xml:space="preserve"> REF _Ref15823781 \h  \* MERGEFORMAT </w:instrText>
      </w:r>
      <w:r>
        <w:fldChar w:fldCharType="separate"/>
      </w:r>
      <w:r w:rsidR="000673CB">
        <w:t xml:space="preserve">Figure </w:t>
      </w:r>
      <w:r w:rsidR="000673CB">
        <w:rPr>
          <w:noProof/>
        </w:rPr>
        <w:t>10</w:t>
      </w:r>
      <w:r>
        <w:fldChar w:fldCharType="end"/>
      </w:r>
      <w:r>
        <w:t xml:space="preserve">: The </w:t>
      </w:r>
      <w:proofErr w:type="spellStart"/>
      <w:r>
        <w:t>Streamable_Exchange</w:t>
      </w:r>
      <w:proofErr w:type="spellEnd"/>
      <w:r>
        <w:t xml:space="preserve"> set complements the </w:t>
      </w:r>
      <w:proofErr w:type="spellStart"/>
      <w:r>
        <w:t>ServiceMetaData</w:t>
      </w:r>
      <w:proofErr w:type="spellEnd"/>
      <w:r>
        <w:t xml:space="preserve"> with dataset-specific information such as a digital signature that is directly derived from the dataset and therefore needs to be generated for each dataset individually. The </w:t>
      </w:r>
      <w:proofErr w:type="spellStart"/>
      <w:r>
        <w:t>Streamable_ExchangeSet</w:t>
      </w:r>
      <w:proofErr w:type="spellEnd"/>
      <w:r>
        <w:t xml:space="preserve"> is inspired by the </w:t>
      </w:r>
      <w:proofErr w:type="spellStart"/>
      <w:r>
        <w:t>SupportFile</w:t>
      </w:r>
      <w:proofErr w:type="spellEnd"/>
      <w:r>
        <w:t xml:space="preserve">-section of the </w:t>
      </w:r>
      <w:proofErr w:type="spellStart"/>
      <w:r>
        <w:t>ExchangeSet</w:t>
      </w:r>
      <w:proofErr w:type="spellEnd"/>
      <w:r>
        <w:t xml:space="preserve"> model of the S-100 standard. It can easily be extended with additional dataset-specific metadata without making changes to the S124-Standard.</w:t>
      </w:r>
    </w:p>
    <w:p w14:paraId="3D40A8BC" w14:textId="77777777" w:rsidR="00E41AA6" w:rsidRDefault="00E41AA6" w:rsidP="00E41AA6">
      <w:pPr>
        <w:pStyle w:val="Para"/>
        <w:jc w:val="center"/>
      </w:pPr>
      <w:r>
        <w:rPr>
          <w:noProof/>
        </w:rPr>
        <w:drawing>
          <wp:inline distT="0" distB="0" distL="0" distR="0" wp14:anchorId="762ACCD9" wp14:editId="630188E8">
            <wp:extent cx="5486400" cy="1572260"/>
            <wp:effectExtent l="0" t="0" r="0" b="8890"/>
            <wp:docPr id="7" name="Grafik 7"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EA_2019-08-04_14-54-00.png"/>
                    <pic:cNvPicPr/>
                  </pic:nvPicPr>
                  <pic:blipFill>
                    <a:blip r:embed="rId17"/>
                    <a:stretch>
                      <a:fillRect/>
                    </a:stretch>
                  </pic:blipFill>
                  <pic:spPr>
                    <a:xfrm>
                      <a:off x="0" y="0"/>
                      <a:ext cx="5486400" cy="1572260"/>
                    </a:xfrm>
                    <a:prstGeom prst="rect">
                      <a:avLst/>
                    </a:prstGeom>
                  </pic:spPr>
                </pic:pic>
              </a:graphicData>
            </a:graphic>
          </wp:inline>
        </w:drawing>
      </w:r>
    </w:p>
    <w:p w14:paraId="74960272" w14:textId="61F79E0B" w:rsidR="00E41AA6" w:rsidRPr="0080304F" w:rsidRDefault="00E41AA6" w:rsidP="00E41AA6">
      <w:pPr>
        <w:pStyle w:val="Caption"/>
        <w:jc w:val="center"/>
      </w:pPr>
      <w:bookmarkStart w:id="10" w:name="_Ref15823781"/>
      <w:r>
        <w:t xml:space="preserve">Figure </w:t>
      </w:r>
      <w:r>
        <w:fldChar w:fldCharType="begin"/>
      </w:r>
      <w:r>
        <w:instrText xml:space="preserve"> SEQ Figure \* ARABIC </w:instrText>
      </w:r>
      <w:r>
        <w:fldChar w:fldCharType="separate"/>
      </w:r>
      <w:r w:rsidR="000673CB">
        <w:rPr>
          <w:noProof/>
        </w:rPr>
        <w:t>10</w:t>
      </w:r>
      <w:r>
        <w:rPr>
          <w:noProof/>
        </w:rPr>
        <w:fldChar w:fldCharType="end"/>
      </w:r>
      <w:bookmarkEnd w:id="10"/>
      <w:r>
        <w:t xml:space="preserve">: </w:t>
      </w:r>
      <w:proofErr w:type="spellStart"/>
      <w:r>
        <w:t>Streamable</w:t>
      </w:r>
      <w:proofErr w:type="spellEnd"/>
      <w:r>
        <w:t xml:space="preserve"> </w:t>
      </w:r>
      <w:proofErr w:type="spellStart"/>
      <w:r>
        <w:t>Exchangeset</w:t>
      </w:r>
      <w:proofErr w:type="spellEnd"/>
      <w:r>
        <w:t xml:space="preserve"> as (Signature-)Metadata-Container for S124-Datasets.</w:t>
      </w:r>
    </w:p>
    <w:p w14:paraId="39E8BA90" w14:textId="25862EBB" w:rsidR="00E41AA6" w:rsidRDefault="00E41AA6" w:rsidP="00285313">
      <w:pPr>
        <w:pStyle w:val="BodyText"/>
      </w:pPr>
      <w:r>
        <w:t xml:space="preserve">The second solution is a little bit more specific: Modifying the Data Model of the S-124 can also be a way to store additional metadata. The S-124 class S124_NWPreamble (see </w:t>
      </w:r>
      <w:r>
        <w:fldChar w:fldCharType="begin"/>
      </w:r>
      <w:r>
        <w:instrText xml:space="preserve"> REF _Ref15824526 \h </w:instrText>
      </w:r>
      <w:r>
        <w:fldChar w:fldCharType="separate"/>
      </w:r>
      <w:r w:rsidR="000673CB">
        <w:t xml:space="preserve">Figure </w:t>
      </w:r>
      <w:r w:rsidR="000673CB">
        <w:rPr>
          <w:noProof/>
        </w:rPr>
        <w:t>11</w:t>
      </w:r>
      <w:r>
        <w:fldChar w:fldCharType="end"/>
      </w:r>
      <w:r>
        <w:t xml:space="preserve">) is defined to hold the meta-information of the dataset encapsulating the navigational warning. This class could be extended with additional attributes such as the </w:t>
      </w:r>
      <w:proofErr w:type="spellStart"/>
      <w:r>
        <w:t>digitalSignatureValue</w:t>
      </w:r>
      <w:proofErr w:type="spellEnd"/>
      <w:r>
        <w:t xml:space="preserve">. This seems to be a less flexible solution because the Data Model of S-124 itself would have to be modified. </w:t>
      </w:r>
    </w:p>
    <w:p w14:paraId="3049F690" w14:textId="77777777" w:rsidR="00E41AA6" w:rsidRDefault="00E41AA6" w:rsidP="00F15F46">
      <w:pPr>
        <w:pStyle w:val="BodyText"/>
        <w:jc w:val="center"/>
      </w:pPr>
      <w:r>
        <w:rPr>
          <w:noProof/>
          <w:lang w:val="en-US" w:eastAsia="en-US"/>
        </w:rPr>
        <w:drawing>
          <wp:inline distT="0" distB="0" distL="0" distR="0" wp14:anchorId="4CEE11A9" wp14:editId="64285104">
            <wp:extent cx="5486400" cy="2400300"/>
            <wp:effectExtent l="0" t="0" r="0" b="0"/>
            <wp:docPr id="8" name="Grafik 8"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WINWORD_2019-08-04_15-15-37.png"/>
                    <pic:cNvPicPr/>
                  </pic:nvPicPr>
                  <pic:blipFill>
                    <a:blip r:embed="rId18"/>
                    <a:stretch>
                      <a:fillRect/>
                    </a:stretch>
                  </pic:blipFill>
                  <pic:spPr>
                    <a:xfrm>
                      <a:off x="0" y="0"/>
                      <a:ext cx="5486400" cy="2400300"/>
                    </a:xfrm>
                    <a:prstGeom prst="rect">
                      <a:avLst/>
                    </a:prstGeom>
                  </pic:spPr>
                </pic:pic>
              </a:graphicData>
            </a:graphic>
          </wp:inline>
        </w:drawing>
      </w:r>
    </w:p>
    <w:p w14:paraId="2084BA65" w14:textId="0B2FDACC" w:rsidR="00E41AA6" w:rsidRDefault="00E41AA6" w:rsidP="00E41AA6">
      <w:pPr>
        <w:pStyle w:val="Caption"/>
        <w:jc w:val="center"/>
      </w:pPr>
      <w:bookmarkStart w:id="11" w:name="_Ref15824526"/>
      <w:r>
        <w:t xml:space="preserve">Figure </w:t>
      </w:r>
      <w:r>
        <w:fldChar w:fldCharType="begin"/>
      </w:r>
      <w:r>
        <w:instrText xml:space="preserve"> SEQ Figure \* ARABIC </w:instrText>
      </w:r>
      <w:r>
        <w:fldChar w:fldCharType="separate"/>
      </w:r>
      <w:r w:rsidR="000673CB">
        <w:rPr>
          <w:noProof/>
        </w:rPr>
        <w:t>11</w:t>
      </w:r>
      <w:r>
        <w:rPr>
          <w:noProof/>
        </w:rPr>
        <w:fldChar w:fldCharType="end"/>
      </w:r>
      <w:bookmarkEnd w:id="11"/>
      <w:r>
        <w:t xml:space="preserve">: S-124 </w:t>
      </w:r>
      <w:proofErr w:type="spellStart"/>
      <w:r>
        <w:t>Datamodel</w:t>
      </w:r>
      <w:proofErr w:type="spellEnd"/>
      <w:r>
        <w:t xml:space="preserve"> for Navigational Warning Metadata</w:t>
      </w:r>
    </w:p>
    <w:p w14:paraId="7EAE93DF" w14:textId="1E768E8C" w:rsidR="00BF06AF" w:rsidRDefault="00BF06AF" w:rsidP="00BF06AF">
      <w:pPr>
        <w:pStyle w:val="Heading2"/>
      </w:pPr>
      <w:r>
        <w:t xml:space="preserve">Measures against Replay Attacks </w:t>
      </w:r>
    </w:p>
    <w:p w14:paraId="667BAC91" w14:textId="6908BC81" w:rsidR="00BF06AF" w:rsidRPr="00F15F46" w:rsidRDefault="00BF06AF" w:rsidP="00F15F46">
      <w:pPr>
        <w:jc w:val="both"/>
        <w:rPr>
          <w:rFonts w:asciiTheme="minorHAnsi" w:hAnsiTheme="minorHAnsi"/>
        </w:rPr>
      </w:pPr>
      <w:r w:rsidRPr="00F15F46">
        <w:rPr>
          <w:rFonts w:asciiTheme="minorHAnsi" w:hAnsiTheme="minorHAnsi"/>
        </w:rPr>
        <w:t>In the previous section we have discussed how to integrate</w:t>
      </w:r>
      <w:r>
        <w:rPr>
          <w:rFonts w:asciiTheme="minorHAnsi" w:hAnsiTheme="minorHAnsi"/>
        </w:rPr>
        <w:t xml:space="preserve"> metadata such as </w:t>
      </w:r>
      <w:r w:rsidRPr="00F15F46">
        <w:rPr>
          <w:rFonts w:asciiTheme="minorHAnsi" w:hAnsiTheme="minorHAnsi"/>
        </w:rPr>
        <w:t xml:space="preserve">digital signatures into the data </w:t>
      </w:r>
      <w:r>
        <w:rPr>
          <w:rFonts w:asciiTheme="minorHAnsi" w:hAnsiTheme="minorHAnsi"/>
        </w:rPr>
        <w:t xml:space="preserve">sets </w:t>
      </w:r>
      <w:r w:rsidRPr="00F15F46">
        <w:rPr>
          <w:rFonts w:asciiTheme="minorHAnsi" w:hAnsiTheme="minorHAnsi"/>
        </w:rPr>
        <w:t xml:space="preserve">to be transmitted. </w:t>
      </w:r>
      <w:r>
        <w:rPr>
          <w:rFonts w:asciiTheme="minorHAnsi" w:hAnsiTheme="minorHAnsi"/>
        </w:rPr>
        <w:t xml:space="preserve">To ensure the timeliness of navigational warnings </w:t>
      </w:r>
      <w:r>
        <w:rPr>
          <w:rFonts w:asciiTheme="minorHAnsi" w:hAnsiTheme="minorHAnsi"/>
          <w:lang w:val="en-US"/>
        </w:rPr>
        <w:t>t</w:t>
      </w:r>
      <w:r w:rsidRPr="00F15F46">
        <w:rPr>
          <w:rFonts w:asciiTheme="minorHAnsi" w:hAnsiTheme="minorHAnsi"/>
          <w:lang w:val="en-US"/>
        </w:rPr>
        <w:t xml:space="preserve">he data set must </w:t>
      </w:r>
      <w:r>
        <w:rPr>
          <w:rFonts w:asciiTheme="minorHAnsi" w:hAnsiTheme="minorHAnsi"/>
          <w:lang w:val="en-US"/>
        </w:rPr>
        <w:t xml:space="preserve">also </w:t>
      </w:r>
      <w:r w:rsidRPr="00F15F46">
        <w:rPr>
          <w:rFonts w:asciiTheme="minorHAnsi" w:hAnsiTheme="minorHAnsi"/>
          <w:lang w:val="en-US"/>
        </w:rPr>
        <w:t>contain a timestamp</w:t>
      </w:r>
      <w:r>
        <w:rPr>
          <w:rFonts w:asciiTheme="minorHAnsi" w:hAnsiTheme="minorHAnsi"/>
        </w:rPr>
        <w:t xml:space="preserve"> </w:t>
      </w:r>
      <w:r>
        <w:rPr>
          <w:rFonts w:asciiTheme="minorHAnsi" w:hAnsiTheme="minorHAnsi"/>
          <w:lang w:val="en-US"/>
        </w:rPr>
        <w:t>(i.e.</w:t>
      </w:r>
      <w:r w:rsidRPr="00F15F46">
        <w:rPr>
          <w:rFonts w:asciiTheme="minorHAnsi" w:hAnsiTheme="minorHAnsi"/>
          <w:lang w:val="en-US"/>
        </w:rPr>
        <w:t xml:space="preserve"> date and time) so that the receiver can check whether the warning</w:t>
      </w:r>
      <w:r>
        <w:rPr>
          <w:rFonts w:asciiTheme="minorHAnsi" w:hAnsiTheme="minorHAnsi"/>
        </w:rPr>
        <w:t xml:space="preserve"> </w:t>
      </w:r>
      <w:r w:rsidRPr="00F15F46">
        <w:rPr>
          <w:rFonts w:asciiTheme="minorHAnsi" w:hAnsiTheme="minorHAnsi"/>
          <w:lang w:val="en-US"/>
        </w:rPr>
        <w:t>is up to date. Otherwise an attacker could eavesdrop and record a signed</w:t>
      </w:r>
      <w:r>
        <w:rPr>
          <w:rFonts w:asciiTheme="minorHAnsi" w:hAnsiTheme="minorHAnsi"/>
        </w:rPr>
        <w:t xml:space="preserve"> </w:t>
      </w:r>
      <w:r w:rsidR="009826B4">
        <w:rPr>
          <w:rFonts w:asciiTheme="minorHAnsi" w:hAnsiTheme="minorHAnsi"/>
          <w:lang w:val="en-US"/>
        </w:rPr>
        <w:t xml:space="preserve">warning </w:t>
      </w:r>
      <w:r w:rsidRPr="00F15F46">
        <w:rPr>
          <w:rFonts w:asciiTheme="minorHAnsi" w:hAnsiTheme="minorHAnsi"/>
          <w:lang w:val="en-US"/>
        </w:rPr>
        <w:t>and replay it lat</w:t>
      </w:r>
      <w:r w:rsidR="009826B4">
        <w:rPr>
          <w:rFonts w:asciiTheme="minorHAnsi" w:hAnsiTheme="minorHAnsi"/>
          <w:lang w:val="en-US"/>
        </w:rPr>
        <w:t>er on, perhaps in a context when</w:t>
      </w:r>
      <w:r w:rsidRPr="00F15F46">
        <w:rPr>
          <w:rFonts w:asciiTheme="minorHAnsi" w:hAnsiTheme="minorHAnsi"/>
          <w:lang w:val="en-US"/>
        </w:rPr>
        <w:t xml:space="preserve"> the</w:t>
      </w:r>
      <w:r>
        <w:rPr>
          <w:rFonts w:asciiTheme="minorHAnsi" w:hAnsiTheme="minorHAnsi"/>
        </w:rPr>
        <w:t xml:space="preserve"> </w:t>
      </w:r>
      <w:r w:rsidRPr="00F15F46">
        <w:rPr>
          <w:rFonts w:asciiTheme="minorHAnsi" w:hAnsiTheme="minorHAnsi"/>
          <w:lang w:val="en-US"/>
        </w:rPr>
        <w:t>warning will cause chaos or confusion. It is crucial that the</w:t>
      </w:r>
      <w:r>
        <w:rPr>
          <w:rFonts w:asciiTheme="minorHAnsi" w:hAnsiTheme="minorHAnsi"/>
        </w:rPr>
        <w:t xml:space="preserve"> </w:t>
      </w:r>
      <w:r w:rsidRPr="00F15F46">
        <w:rPr>
          <w:rFonts w:asciiTheme="minorHAnsi" w:hAnsiTheme="minorHAnsi"/>
          <w:lang w:val="en-US"/>
        </w:rPr>
        <w:t>signature spans both the warning information and the timestamp.</w:t>
      </w:r>
      <w:r>
        <w:rPr>
          <w:rFonts w:asciiTheme="minorHAnsi" w:hAnsiTheme="minorHAnsi"/>
        </w:rPr>
        <w:t xml:space="preserve"> </w:t>
      </w:r>
      <w:r w:rsidRPr="00F15F46">
        <w:rPr>
          <w:rFonts w:asciiTheme="minorHAnsi" w:hAnsiTheme="minorHAnsi"/>
          <w:lang w:val="en-US"/>
        </w:rPr>
        <w:t xml:space="preserve">Otherwise replay attacks will still be possible: The attacker </w:t>
      </w:r>
      <w:r w:rsidR="009826B4">
        <w:rPr>
          <w:rFonts w:asciiTheme="minorHAnsi" w:hAnsiTheme="minorHAnsi"/>
          <w:lang w:val="en-US"/>
        </w:rPr>
        <w:t xml:space="preserve">could </w:t>
      </w:r>
      <w:r w:rsidRPr="00F15F46">
        <w:rPr>
          <w:rFonts w:asciiTheme="minorHAnsi" w:hAnsiTheme="minorHAnsi"/>
          <w:lang w:val="en-US"/>
        </w:rPr>
        <w:t>extract</w:t>
      </w:r>
      <w:r>
        <w:rPr>
          <w:rFonts w:asciiTheme="minorHAnsi" w:hAnsiTheme="minorHAnsi"/>
        </w:rPr>
        <w:t xml:space="preserve"> </w:t>
      </w:r>
      <w:r w:rsidRPr="00F15F46">
        <w:rPr>
          <w:rFonts w:asciiTheme="minorHAnsi" w:hAnsiTheme="minorHAnsi"/>
          <w:lang w:val="en-US"/>
        </w:rPr>
        <w:t xml:space="preserve">the signed </w:t>
      </w:r>
      <w:r w:rsidRPr="00F15F46">
        <w:rPr>
          <w:rFonts w:asciiTheme="minorHAnsi" w:hAnsiTheme="minorHAnsi"/>
          <w:lang w:val="en-US"/>
        </w:rPr>
        <w:lastRenderedPageBreak/>
        <w:t xml:space="preserve">warning from </w:t>
      </w:r>
      <w:r w:rsidR="009826B4">
        <w:rPr>
          <w:rFonts w:asciiTheme="minorHAnsi" w:hAnsiTheme="minorHAnsi"/>
          <w:lang w:val="en-US"/>
        </w:rPr>
        <w:t>the overall message and combine</w:t>
      </w:r>
      <w:r w:rsidRPr="00F15F46">
        <w:rPr>
          <w:rFonts w:asciiTheme="minorHAnsi" w:hAnsiTheme="minorHAnsi"/>
          <w:lang w:val="en-US"/>
        </w:rPr>
        <w:t xml:space="preserve"> it with a</w:t>
      </w:r>
      <w:r>
        <w:rPr>
          <w:rFonts w:asciiTheme="minorHAnsi" w:hAnsiTheme="minorHAnsi"/>
        </w:rPr>
        <w:t xml:space="preserve"> </w:t>
      </w:r>
      <w:r>
        <w:rPr>
          <w:rFonts w:asciiTheme="minorHAnsi" w:hAnsiTheme="minorHAnsi"/>
          <w:lang w:val="en-US"/>
        </w:rPr>
        <w:t xml:space="preserve">timestamp </w:t>
      </w:r>
      <w:r w:rsidR="00F14789">
        <w:rPr>
          <w:rFonts w:asciiTheme="minorHAnsi" w:hAnsiTheme="minorHAnsi"/>
          <w:lang w:val="en-US"/>
        </w:rPr>
        <w:t>valid f</w:t>
      </w:r>
      <w:r w:rsidRPr="00F15F46">
        <w:rPr>
          <w:rFonts w:asciiTheme="minorHAnsi" w:hAnsiTheme="minorHAnsi"/>
          <w:lang w:val="en-US"/>
        </w:rPr>
        <w:t>or the intended time of replay. Also note that</w:t>
      </w:r>
      <w:r>
        <w:rPr>
          <w:rFonts w:asciiTheme="minorHAnsi" w:hAnsiTheme="minorHAnsi"/>
        </w:rPr>
        <w:t xml:space="preserve"> </w:t>
      </w:r>
      <w:r w:rsidRPr="00F15F46">
        <w:rPr>
          <w:rFonts w:asciiTheme="minorHAnsi" w:hAnsiTheme="minorHAnsi"/>
          <w:lang w:val="en-US"/>
        </w:rPr>
        <w:t>separately signing the warning information and the timestamp is not</w:t>
      </w:r>
      <w:r>
        <w:rPr>
          <w:rFonts w:asciiTheme="minorHAnsi" w:hAnsiTheme="minorHAnsi"/>
        </w:rPr>
        <w:t xml:space="preserve"> </w:t>
      </w:r>
      <w:r w:rsidRPr="00F15F46">
        <w:rPr>
          <w:rFonts w:asciiTheme="minorHAnsi" w:hAnsiTheme="minorHAnsi"/>
          <w:lang w:val="en-US"/>
        </w:rPr>
        <w:t>sufficient because the attacker could eavesdrop on any current message</w:t>
      </w:r>
      <w:r w:rsidR="00F14789">
        <w:rPr>
          <w:rFonts w:asciiTheme="minorHAnsi" w:hAnsiTheme="minorHAnsi"/>
          <w:lang w:val="en-US"/>
        </w:rPr>
        <w:t>, extract its signed timestamp,</w:t>
      </w:r>
      <w:r>
        <w:rPr>
          <w:rFonts w:asciiTheme="minorHAnsi" w:hAnsiTheme="minorHAnsi"/>
        </w:rPr>
        <w:t xml:space="preserve"> </w:t>
      </w:r>
      <w:r w:rsidRPr="00F15F46">
        <w:rPr>
          <w:rFonts w:asciiTheme="minorHAnsi" w:hAnsiTheme="minorHAnsi"/>
          <w:lang w:val="en-US"/>
        </w:rPr>
        <w:t>and combine the current signed timestamp with an earlier signed warning.</w:t>
      </w:r>
      <w:r>
        <w:rPr>
          <w:rFonts w:asciiTheme="minorHAnsi" w:hAnsiTheme="minorHAnsi"/>
        </w:rPr>
        <w:t xml:space="preserve"> </w:t>
      </w:r>
      <w:r w:rsidRPr="00F15F46">
        <w:rPr>
          <w:rFonts w:asciiTheme="minorHAnsi" w:hAnsiTheme="minorHAnsi"/>
          <w:lang w:val="en-US"/>
        </w:rPr>
        <w:t>Hence, it is crucial that warning information and timestamp are</w:t>
      </w:r>
      <w:r>
        <w:rPr>
          <w:rFonts w:asciiTheme="minorHAnsi" w:hAnsiTheme="minorHAnsi"/>
        </w:rPr>
        <w:t xml:space="preserve"> </w:t>
      </w:r>
      <w:r w:rsidRPr="00F15F46">
        <w:rPr>
          <w:rFonts w:asciiTheme="minorHAnsi" w:hAnsiTheme="minorHAnsi"/>
          <w:lang w:val="en-US"/>
        </w:rPr>
        <w:t>cryptographically bound together.</w:t>
      </w:r>
    </w:p>
    <w:p w14:paraId="31983468" w14:textId="77777777" w:rsidR="00BF06AF" w:rsidRPr="00F15F46" w:rsidRDefault="00BF06AF" w:rsidP="00F15F46">
      <w:pPr>
        <w:jc w:val="both"/>
        <w:rPr>
          <w:rFonts w:asciiTheme="minorHAnsi" w:hAnsiTheme="minorHAnsi"/>
          <w:lang w:val="en-US"/>
        </w:rPr>
      </w:pPr>
    </w:p>
    <w:p w14:paraId="4757AD67" w14:textId="56BD4A75" w:rsidR="00BF06AF" w:rsidRPr="00F15F46" w:rsidRDefault="00BF06AF" w:rsidP="00F15F46">
      <w:pPr>
        <w:jc w:val="both"/>
        <w:rPr>
          <w:rFonts w:asciiTheme="minorHAnsi" w:hAnsiTheme="minorHAnsi"/>
          <w:lang w:val="en-US"/>
        </w:rPr>
      </w:pPr>
      <w:r w:rsidRPr="00F15F46">
        <w:rPr>
          <w:rFonts w:asciiTheme="minorHAnsi" w:hAnsiTheme="minorHAnsi"/>
          <w:lang w:val="en-US"/>
        </w:rPr>
        <w:t>Moreover, it is crucial for security th</w:t>
      </w:r>
      <w:r w:rsidR="00C716E5">
        <w:rPr>
          <w:rFonts w:asciiTheme="minorHAnsi" w:hAnsiTheme="minorHAnsi"/>
          <w:lang w:val="en-US"/>
        </w:rPr>
        <w:t xml:space="preserve">at the clocks of the sender and </w:t>
      </w:r>
      <w:r w:rsidRPr="00F15F46">
        <w:rPr>
          <w:rFonts w:asciiTheme="minorHAnsi" w:hAnsiTheme="minorHAnsi"/>
          <w:lang w:val="en-US"/>
        </w:rPr>
        <w:t>receiver are synchronized and that the time window in which the receiver</w:t>
      </w:r>
      <w:r w:rsidR="00C716E5">
        <w:rPr>
          <w:rFonts w:asciiTheme="minorHAnsi" w:hAnsiTheme="minorHAnsi"/>
          <w:lang w:val="en-US"/>
        </w:rPr>
        <w:t xml:space="preserve"> </w:t>
      </w:r>
      <w:r w:rsidRPr="00F15F46">
        <w:rPr>
          <w:rFonts w:asciiTheme="minorHAnsi" w:hAnsiTheme="minorHAnsi"/>
          <w:lang w:val="en-US"/>
        </w:rPr>
        <w:t>accepts a message as valid is</w:t>
      </w:r>
      <w:r w:rsidR="00C716E5">
        <w:rPr>
          <w:rFonts w:asciiTheme="minorHAnsi" w:hAnsiTheme="minorHAnsi"/>
          <w:lang w:val="en-US"/>
        </w:rPr>
        <w:t xml:space="preserve"> </w:t>
      </w:r>
      <w:r w:rsidRPr="00F15F46">
        <w:rPr>
          <w:rFonts w:asciiTheme="minorHAnsi" w:hAnsiTheme="minorHAnsi"/>
          <w:lang w:val="en-US"/>
        </w:rPr>
        <w:t>sufficiently precise. The first is easy to realize since i</w:t>
      </w:r>
      <w:r w:rsidR="00C716E5">
        <w:rPr>
          <w:rFonts w:asciiTheme="minorHAnsi" w:hAnsiTheme="minorHAnsi"/>
          <w:lang w:val="en-US"/>
        </w:rPr>
        <w:t xml:space="preserve">n the maritime </w:t>
      </w:r>
      <w:r w:rsidRPr="00F15F46">
        <w:rPr>
          <w:rFonts w:asciiTheme="minorHAnsi" w:hAnsiTheme="minorHAnsi"/>
          <w:lang w:val="en-US"/>
        </w:rPr>
        <w:t>context we can assume that senders and receivers are equipped with</w:t>
      </w:r>
      <w:r w:rsidR="00C716E5">
        <w:rPr>
          <w:rFonts w:asciiTheme="minorHAnsi" w:hAnsiTheme="minorHAnsi"/>
          <w:lang w:val="en-US"/>
        </w:rPr>
        <w:t xml:space="preserve"> GPS. The </w:t>
      </w:r>
      <w:r w:rsidRPr="00F15F46">
        <w:rPr>
          <w:rFonts w:asciiTheme="minorHAnsi" w:hAnsiTheme="minorHAnsi"/>
          <w:lang w:val="en-US"/>
        </w:rPr>
        <w:t>choice of the time window for acceptance is less straightforward</w:t>
      </w:r>
      <w:r w:rsidR="00C716E5">
        <w:rPr>
          <w:rFonts w:asciiTheme="minorHAnsi" w:hAnsiTheme="minorHAnsi"/>
          <w:lang w:val="en-US"/>
        </w:rPr>
        <w:t xml:space="preserve"> </w:t>
      </w:r>
      <w:r w:rsidRPr="00F15F46">
        <w:rPr>
          <w:rFonts w:asciiTheme="minorHAnsi" w:hAnsiTheme="minorHAnsi"/>
          <w:lang w:val="en-US"/>
        </w:rPr>
        <w:t>to determine. Different types of warnings might come with different</w:t>
      </w:r>
      <w:r w:rsidR="00C716E5">
        <w:rPr>
          <w:rFonts w:asciiTheme="minorHAnsi" w:hAnsiTheme="minorHAnsi"/>
          <w:lang w:val="en-US"/>
        </w:rPr>
        <w:t xml:space="preserve"> </w:t>
      </w:r>
      <w:r w:rsidRPr="00F15F46">
        <w:rPr>
          <w:rFonts w:asciiTheme="minorHAnsi" w:hAnsiTheme="minorHAnsi"/>
          <w:lang w:val="en-US"/>
        </w:rPr>
        <w:t xml:space="preserve">margins of when it might become unsafe to accept and act upon </w:t>
      </w:r>
      <w:r w:rsidR="00667C61">
        <w:rPr>
          <w:rFonts w:asciiTheme="minorHAnsi" w:hAnsiTheme="minorHAnsi"/>
          <w:lang w:val="en-US"/>
        </w:rPr>
        <w:t>it</w:t>
      </w:r>
      <w:r w:rsidRPr="00F15F46">
        <w:rPr>
          <w:rFonts w:asciiTheme="minorHAnsi" w:hAnsiTheme="minorHAnsi"/>
          <w:lang w:val="en-US"/>
        </w:rPr>
        <w:t>. In our context of IP-based communication we also have</w:t>
      </w:r>
      <w:r w:rsidR="00C716E5">
        <w:rPr>
          <w:rFonts w:asciiTheme="minorHAnsi" w:hAnsiTheme="minorHAnsi"/>
          <w:lang w:val="en-US"/>
        </w:rPr>
        <w:t xml:space="preserve"> </w:t>
      </w:r>
      <w:r w:rsidRPr="00F15F46">
        <w:rPr>
          <w:rFonts w:asciiTheme="minorHAnsi" w:hAnsiTheme="minorHAnsi"/>
          <w:lang w:val="en-US"/>
        </w:rPr>
        <w:t>to keep in mind that the routing of messages does not come with any</w:t>
      </w:r>
      <w:r w:rsidR="00C716E5">
        <w:rPr>
          <w:rFonts w:asciiTheme="minorHAnsi" w:hAnsiTheme="minorHAnsi"/>
          <w:lang w:val="en-US"/>
        </w:rPr>
        <w:t xml:space="preserve"> </w:t>
      </w:r>
      <w:r w:rsidRPr="00F15F46">
        <w:rPr>
          <w:rFonts w:asciiTheme="minorHAnsi" w:hAnsiTheme="minorHAnsi"/>
          <w:lang w:val="en-US"/>
        </w:rPr>
        <w:t>real-time guarantees. We recommend that the time window will be</w:t>
      </w:r>
      <w:r w:rsidR="00C716E5">
        <w:rPr>
          <w:rFonts w:asciiTheme="minorHAnsi" w:hAnsiTheme="minorHAnsi"/>
          <w:lang w:val="en-US"/>
        </w:rPr>
        <w:t xml:space="preserve"> </w:t>
      </w:r>
      <w:r w:rsidRPr="00F15F46">
        <w:rPr>
          <w:rFonts w:asciiTheme="minorHAnsi" w:hAnsiTheme="minorHAnsi"/>
          <w:lang w:val="en-US"/>
        </w:rPr>
        <w:t xml:space="preserve">defined </w:t>
      </w:r>
      <w:r w:rsidR="00667C61">
        <w:rPr>
          <w:rFonts w:asciiTheme="minorHAnsi" w:hAnsiTheme="minorHAnsi"/>
          <w:lang w:val="en-US"/>
        </w:rPr>
        <w:t>specifically for each</w:t>
      </w:r>
      <w:r w:rsidRPr="00F15F46">
        <w:rPr>
          <w:rFonts w:asciiTheme="minorHAnsi" w:hAnsiTheme="minorHAnsi"/>
          <w:lang w:val="en-US"/>
        </w:rPr>
        <w:t xml:space="preserve"> type of navigational warning following</w:t>
      </w:r>
      <w:r w:rsidR="00C716E5">
        <w:rPr>
          <w:rFonts w:asciiTheme="minorHAnsi" w:hAnsiTheme="minorHAnsi"/>
          <w:lang w:val="en-US"/>
        </w:rPr>
        <w:t xml:space="preserve"> </w:t>
      </w:r>
      <w:r w:rsidRPr="00F15F46">
        <w:rPr>
          <w:rFonts w:asciiTheme="minorHAnsi" w:hAnsiTheme="minorHAnsi"/>
          <w:lang w:val="en-US"/>
        </w:rPr>
        <w:t>a safety impact analysis.</w:t>
      </w:r>
    </w:p>
    <w:p w14:paraId="37DCAC76" w14:textId="77777777" w:rsidR="00BF06AF" w:rsidRPr="00F15F46" w:rsidRDefault="00BF06AF" w:rsidP="00F15F46">
      <w:pPr>
        <w:rPr>
          <w:rFonts w:asciiTheme="minorHAnsi" w:hAnsiTheme="minorHAnsi"/>
        </w:rPr>
      </w:pPr>
    </w:p>
    <w:p w14:paraId="1EEF847E" w14:textId="77777777" w:rsidR="00E41AA6" w:rsidRDefault="00E41AA6" w:rsidP="00285313">
      <w:pPr>
        <w:pStyle w:val="Heading2"/>
      </w:pPr>
      <w:r>
        <w:t xml:space="preserve">Example: </w:t>
      </w:r>
      <w:proofErr w:type="spellStart"/>
      <w:r>
        <w:t>Get_NW_Messages</w:t>
      </w:r>
      <w:proofErr w:type="spellEnd"/>
    </w:p>
    <w:p w14:paraId="65BA9A68" w14:textId="3FB06552" w:rsidR="00E41AA6" w:rsidRDefault="00E41AA6" w:rsidP="00285313">
      <w:pPr>
        <w:pStyle w:val="BodyText"/>
      </w:pPr>
      <w:r>
        <w:t xml:space="preserve">The following communication between service and consumer shows an example for the exchange of navigational warnings information. The container approach from section </w:t>
      </w:r>
      <w:r>
        <w:fldChar w:fldCharType="begin"/>
      </w:r>
      <w:r>
        <w:instrText xml:space="preserve"> REF _Ref17285203 \r \h  \* MERGEFORMAT </w:instrText>
      </w:r>
      <w:r>
        <w:fldChar w:fldCharType="separate"/>
      </w:r>
      <w:r w:rsidR="000673CB">
        <w:t>5.4</w:t>
      </w:r>
      <w:r>
        <w:fldChar w:fldCharType="end"/>
      </w:r>
      <w:r>
        <w:t xml:space="preserve"> was used to encapsulate the digital signature. The consumer sends a POST request to the REST-API of the service (</w:t>
      </w:r>
      <w:r>
        <w:fldChar w:fldCharType="begin"/>
      </w:r>
      <w:r>
        <w:instrText xml:space="preserve"> REF _Ref17286085 \h  \* MERGEFORMAT </w:instrText>
      </w:r>
      <w:r>
        <w:fldChar w:fldCharType="separate"/>
      </w:r>
      <w:r w:rsidR="000673CB">
        <w:t xml:space="preserve">Figure </w:t>
      </w:r>
      <w:r w:rsidR="000673CB">
        <w:rPr>
          <w:noProof/>
        </w:rPr>
        <w:t>12</w:t>
      </w:r>
      <w:r>
        <w:fldChar w:fldCharType="end"/>
      </w:r>
      <w:r>
        <w:t>) and retrieves a S100-gml response (</w:t>
      </w:r>
      <w:r>
        <w:fldChar w:fldCharType="begin"/>
      </w:r>
      <w:r>
        <w:instrText xml:space="preserve"> REF _Ref17286224 \h  \* MERGEFORMAT </w:instrText>
      </w:r>
      <w:r>
        <w:fldChar w:fldCharType="separate"/>
      </w:r>
      <w:r w:rsidR="000673CB">
        <w:t xml:space="preserve">Figure </w:t>
      </w:r>
      <w:r w:rsidR="000673CB">
        <w:rPr>
          <w:noProof/>
        </w:rPr>
        <w:t>13</w:t>
      </w:r>
      <w:r>
        <w:fldChar w:fldCharType="end"/>
      </w:r>
      <w:r>
        <w:t xml:space="preserve">), describing navigational warnings in the requested area. </w:t>
      </w:r>
    </w:p>
    <w:p w14:paraId="5BA179E1" w14:textId="77777777" w:rsidR="00F15F46" w:rsidRDefault="00F15F46" w:rsidP="00285313">
      <w:pPr>
        <w:pStyle w:val="BodyText"/>
      </w:pPr>
    </w:p>
    <w:tbl>
      <w:tblPr>
        <w:tblStyle w:val="TableGrid"/>
        <w:tblW w:w="0" w:type="auto"/>
        <w:jc w:val="center"/>
        <w:tblLook w:val="04A0" w:firstRow="1" w:lastRow="0" w:firstColumn="1" w:lastColumn="0" w:noHBand="0" w:noVBand="1"/>
      </w:tblPr>
      <w:tblGrid>
        <w:gridCol w:w="8789"/>
      </w:tblGrid>
      <w:tr w:rsidR="00F15F46" w14:paraId="55D3C050" w14:textId="77777777" w:rsidTr="00F15F46">
        <w:trPr>
          <w:jc w:val="center"/>
        </w:trPr>
        <w:tc>
          <w:tcPr>
            <w:tcW w:w="8789" w:type="dxa"/>
          </w:tcPr>
          <w:p w14:paraId="5273C5CD" w14:textId="77777777" w:rsidR="00F15F46" w:rsidRPr="00103C92" w:rsidRDefault="00F15F46" w:rsidP="00F15F46">
            <w:pPr>
              <w:pStyle w:val="BodyText"/>
              <w:rPr>
                <w:lang w:val="de-DE" w:eastAsia="de-DE"/>
              </w:rPr>
            </w:pPr>
            <w:r w:rsidRPr="00F15F46">
              <w:rPr>
                <w:b/>
                <w:bCs/>
                <w:lang w:val="de-DE" w:eastAsia="de-DE"/>
              </w:rPr>
              <w:t>POST</w:t>
            </w:r>
            <w:r w:rsidRPr="00103C92">
              <w:rPr>
                <w:lang w:val="de-DE" w:eastAsia="de-DE"/>
              </w:rPr>
              <w:t xml:space="preserve"> /</w:t>
            </w:r>
            <w:r>
              <w:rPr>
                <w:lang w:val="de-DE" w:eastAsia="de-DE"/>
              </w:rPr>
              <w:t>Get_NW_Messages</w:t>
            </w:r>
            <w:r w:rsidRPr="00103C92">
              <w:rPr>
                <w:lang w:val="de-DE" w:eastAsia="de-DE"/>
              </w:rPr>
              <w:t xml:space="preserve"> HTTP/1.1</w:t>
            </w:r>
          </w:p>
          <w:p w14:paraId="3E78390B" w14:textId="77777777" w:rsidR="00F15F46" w:rsidRPr="00103C92" w:rsidRDefault="00F15F46" w:rsidP="00F15F46">
            <w:pPr>
              <w:pStyle w:val="BodyText"/>
              <w:rPr>
                <w:lang w:val="de-DE" w:eastAsia="de-DE"/>
              </w:rPr>
            </w:pPr>
            <w:r w:rsidRPr="00F15F46">
              <w:rPr>
                <w:b/>
                <w:bCs/>
                <w:lang w:val="de-DE" w:eastAsia="de-DE"/>
              </w:rPr>
              <w:t>HOST:</w:t>
            </w:r>
            <w:r w:rsidRPr="00103C92">
              <w:rPr>
                <w:lang w:val="de-DE" w:eastAsia="de-DE"/>
              </w:rPr>
              <w:t xml:space="preserve"> </w:t>
            </w:r>
            <w:r>
              <w:rPr>
                <w:lang w:val="de-DE" w:eastAsia="de-DE"/>
              </w:rPr>
              <w:t>nw-service.com</w:t>
            </w:r>
          </w:p>
          <w:p w14:paraId="2531203B" w14:textId="77777777" w:rsidR="00F15F46" w:rsidRPr="00103C92" w:rsidRDefault="00F15F46" w:rsidP="00F15F46">
            <w:pPr>
              <w:pStyle w:val="BodyText"/>
              <w:rPr>
                <w:lang w:val="de-DE" w:eastAsia="de-DE"/>
              </w:rPr>
            </w:pPr>
            <w:r w:rsidRPr="00F15F46">
              <w:rPr>
                <w:b/>
                <w:bCs/>
                <w:lang w:val="de-DE" w:eastAsia="de-DE"/>
              </w:rPr>
              <w:t>Content-Type:</w:t>
            </w:r>
            <w:r w:rsidRPr="00103C92">
              <w:rPr>
                <w:lang w:val="de-DE" w:eastAsia="de-DE"/>
              </w:rPr>
              <w:t>text/xml</w:t>
            </w:r>
          </w:p>
          <w:p w14:paraId="68AE4AFA" w14:textId="77777777" w:rsidR="00F15F46" w:rsidRPr="00F15F46" w:rsidRDefault="00F15F46" w:rsidP="00F15F46">
            <w:pPr>
              <w:pStyle w:val="BodyText"/>
              <w:rPr>
                <w:i/>
                <w:iCs/>
                <w:lang w:val="de-DE" w:eastAsia="de-DE"/>
              </w:rPr>
            </w:pPr>
            <w:r w:rsidRPr="00F15F46">
              <w:rPr>
                <w:i/>
                <w:iCs/>
                <w:lang w:val="de-DE" w:eastAsia="de-DE"/>
              </w:rPr>
              <w:t>&lt;areaDataSet&gt;</w:t>
            </w:r>
          </w:p>
          <w:p w14:paraId="017F46F8" w14:textId="77777777" w:rsidR="00F15F46" w:rsidRPr="00F15F46" w:rsidRDefault="00F15F46" w:rsidP="00F15F46">
            <w:pPr>
              <w:pStyle w:val="BodyText"/>
              <w:jc w:val="left"/>
              <w:rPr>
                <w:i/>
                <w:iCs/>
                <w:lang w:val="de-DE" w:eastAsia="de-DE"/>
              </w:rPr>
            </w:pPr>
            <w:r w:rsidRPr="00F15F46">
              <w:rPr>
                <w:i/>
                <w:iCs/>
                <w:lang w:val="de-DE" w:eastAsia="de-DE"/>
              </w:rPr>
              <w:tab/>
              <w:t>POLYGON((6.77490234375 53.51144930919295,8.14697265625 53.63090618774243,8.013916015625 53.99616127810512,6.6845703125 53.887507349745036,6.77490234375 53.51144930919295))</w:t>
            </w:r>
          </w:p>
          <w:p w14:paraId="52A66DEB" w14:textId="06E0E563" w:rsidR="00F15F46" w:rsidRDefault="00F15F46" w:rsidP="00F15F46">
            <w:pPr>
              <w:pStyle w:val="BodyText"/>
            </w:pPr>
            <w:r w:rsidRPr="00F15F46">
              <w:rPr>
                <w:i/>
                <w:iCs/>
                <w:lang w:val="de-DE" w:eastAsia="de-DE"/>
              </w:rPr>
              <w:t>&lt;/areaDataSet&gt;</w:t>
            </w:r>
          </w:p>
        </w:tc>
      </w:tr>
    </w:tbl>
    <w:p w14:paraId="485B91FF" w14:textId="20C48790" w:rsidR="00E41AA6" w:rsidRDefault="00E41AA6" w:rsidP="00E41AA6">
      <w:pPr>
        <w:pStyle w:val="Caption"/>
        <w:jc w:val="center"/>
      </w:pPr>
      <w:bookmarkStart w:id="12" w:name="_Ref17286085"/>
      <w:r>
        <w:t xml:space="preserve">Figure </w:t>
      </w:r>
      <w:r>
        <w:fldChar w:fldCharType="begin"/>
      </w:r>
      <w:r>
        <w:instrText xml:space="preserve"> SEQ Figure \* ARABIC </w:instrText>
      </w:r>
      <w:r>
        <w:fldChar w:fldCharType="separate"/>
      </w:r>
      <w:r w:rsidR="000673CB">
        <w:rPr>
          <w:noProof/>
        </w:rPr>
        <w:t>12</w:t>
      </w:r>
      <w:r>
        <w:fldChar w:fldCharType="end"/>
      </w:r>
      <w:bookmarkEnd w:id="12"/>
      <w:r>
        <w:t>: Example REST-POST-Request to retrieve navigational warnings for a specific area.</w:t>
      </w:r>
    </w:p>
    <w:p w14:paraId="7BFCCBDC" w14:textId="77777777" w:rsidR="00E41AA6" w:rsidRPr="00103C92" w:rsidRDefault="00E41AA6" w:rsidP="00285313">
      <w:pPr>
        <w:pStyle w:val="BodyText"/>
      </w:pPr>
    </w:p>
    <w:tbl>
      <w:tblPr>
        <w:tblStyle w:val="TableGrid"/>
        <w:tblW w:w="0" w:type="auto"/>
        <w:jc w:val="center"/>
        <w:tblLook w:val="04A0" w:firstRow="1" w:lastRow="0" w:firstColumn="1" w:lastColumn="0" w:noHBand="0" w:noVBand="1"/>
      </w:tblPr>
      <w:tblGrid>
        <w:gridCol w:w="8854"/>
      </w:tblGrid>
      <w:tr w:rsidR="00E41AA6" w14:paraId="3BFDCED2" w14:textId="77777777" w:rsidTr="00F15F46">
        <w:trPr>
          <w:jc w:val="center"/>
        </w:trPr>
        <w:tc>
          <w:tcPr>
            <w:tcW w:w="8630" w:type="dxa"/>
          </w:tcPr>
          <w:p w14:paraId="2C25AA2A" w14:textId="0E35169D" w:rsidR="00E41AA6" w:rsidRPr="00F15F46" w:rsidRDefault="00F15F46" w:rsidP="00F15F46">
            <w:pPr>
              <w:shd w:val="clear" w:color="auto" w:fill="FFFFFF"/>
              <w:autoSpaceDE w:val="0"/>
              <w:autoSpaceDN w:val="0"/>
              <w:adjustRightInd w:val="0"/>
              <w:rPr>
                <w:rFonts w:asciiTheme="minorHAnsi" w:hAnsiTheme="minorHAnsi" w:cstheme="minorHAnsi"/>
                <w:sz w:val="18"/>
                <w:szCs w:val="18"/>
                <w:highlight w:val="white"/>
                <w:lang w:val="de-DE"/>
              </w:rPr>
            </w:pPr>
            <w:r w:rsidRPr="00F15F46">
              <w:rPr>
                <w:rFonts w:asciiTheme="minorHAnsi" w:hAnsiTheme="minorHAnsi" w:cstheme="minorHAnsi"/>
                <w:color w:val="8B26C9"/>
                <w:sz w:val="18"/>
                <w:szCs w:val="18"/>
                <w:highlight w:val="white"/>
                <w:lang w:val="de-DE"/>
              </w:rPr>
              <w:t>&lt;?xml version="1.0" encoding="UTF-8"?&gt;</w:t>
            </w:r>
            <w:r w:rsidRPr="00F15F46">
              <w:rPr>
                <w:rFonts w:asciiTheme="minorHAnsi" w:hAnsiTheme="minorHAnsi" w:cstheme="minorHAnsi"/>
                <w:color w:val="000000"/>
                <w:sz w:val="18"/>
                <w:szCs w:val="18"/>
                <w:highlight w:val="white"/>
                <w:lang w:val="de-DE"/>
              </w:rPr>
              <w:br/>
            </w:r>
            <w:r w:rsidRPr="00F15F46">
              <w:rPr>
                <w:rFonts w:asciiTheme="minorHAnsi" w:hAnsiTheme="minorHAnsi" w:cstheme="minorHAnsi"/>
                <w:color w:val="000096"/>
                <w:sz w:val="18"/>
                <w:szCs w:val="18"/>
                <w:highlight w:val="white"/>
                <w:lang w:val="de-DE"/>
              </w:rPr>
              <w:t>&lt;Streamable_ExchangeSet</w:t>
            </w:r>
            <w:r w:rsidRPr="00F15F46">
              <w:rPr>
                <w:rFonts w:asciiTheme="minorHAnsi" w:hAnsiTheme="minorHAnsi" w:cstheme="minorHAnsi"/>
                <w:color w:val="F5844C"/>
                <w:sz w:val="18"/>
                <w:szCs w:val="18"/>
                <w:highlight w:val="white"/>
                <w:lang w:val="de-DE"/>
              </w:rPr>
              <w:t xml:space="preserve"> </w:t>
            </w:r>
            <w:r w:rsidRPr="00F15F46">
              <w:rPr>
                <w:rFonts w:asciiTheme="minorHAnsi" w:hAnsiTheme="minorHAnsi" w:cstheme="minorHAnsi"/>
                <w:color w:val="0099CC"/>
                <w:sz w:val="18"/>
                <w:szCs w:val="18"/>
                <w:highlight w:val="white"/>
                <w:lang w:val="de-DE"/>
              </w:rPr>
              <w:t>xmlns:gml</w:t>
            </w:r>
            <w:r w:rsidRPr="00F15F46">
              <w:rPr>
                <w:rFonts w:asciiTheme="minorHAnsi" w:hAnsiTheme="minorHAnsi" w:cstheme="minorHAnsi"/>
                <w:color w:val="FF8040"/>
                <w:sz w:val="18"/>
                <w:szCs w:val="18"/>
                <w:highlight w:val="white"/>
                <w:lang w:val="de-DE"/>
              </w:rPr>
              <w:t>=</w:t>
            </w:r>
            <w:r w:rsidRPr="00F15F46">
              <w:rPr>
                <w:rFonts w:asciiTheme="minorHAnsi" w:hAnsiTheme="minorHAnsi" w:cstheme="minorHAnsi"/>
                <w:color w:val="993300"/>
                <w:sz w:val="18"/>
                <w:szCs w:val="18"/>
                <w:highlight w:val="white"/>
                <w:lang w:val="de-DE"/>
              </w:rPr>
              <w:t>"http://www.opengis.net/gml/3.2"</w:t>
            </w:r>
            <w:r w:rsidRPr="00F15F46">
              <w:rPr>
                <w:rFonts w:asciiTheme="minorHAnsi" w:hAnsiTheme="minorHAnsi" w:cstheme="minorHAnsi"/>
                <w:color w:val="000000"/>
                <w:sz w:val="18"/>
                <w:szCs w:val="18"/>
                <w:highlight w:val="white"/>
                <w:lang w:val="de-DE"/>
              </w:rPr>
              <w:br/>
            </w:r>
            <w:r w:rsidRPr="00F15F46">
              <w:rPr>
                <w:rFonts w:asciiTheme="minorHAnsi" w:hAnsiTheme="minorHAnsi" w:cstheme="minorHAnsi"/>
                <w:color w:val="F5844C"/>
                <w:sz w:val="18"/>
                <w:szCs w:val="18"/>
                <w:highlight w:val="white"/>
                <w:lang w:val="de-DE"/>
              </w:rPr>
              <w:t xml:space="preserve"> </w:t>
            </w:r>
            <w:r w:rsidRPr="00F15F46">
              <w:rPr>
                <w:rFonts w:asciiTheme="minorHAnsi" w:hAnsiTheme="minorHAnsi" w:cstheme="minorHAnsi"/>
                <w:color w:val="0099CC"/>
                <w:sz w:val="18"/>
                <w:szCs w:val="18"/>
                <w:highlight w:val="white"/>
                <w:lang w:val="de-DE"/>
              </w:rPr>
              <w:t>xmlns:S100</w:t>
            </w:r>
            <w:r w:rsidRPr="00F15F46">
              <w:rPr>
                <w:rFonts w:asciiTheme="minorHAnsi" w:hAnsiTheme="minorHAnsi" w:cstheme="minorHAnsi"/>
                <w:color w:val="FF8040"/>
                <w:sz w:val="18"/>
                <w:szCs w:val="18"/>
                <w:highlight w:val="white"/>
                <w:lang w:val="de-DE"/>
              </w:rPr>
              <w:t>=</w:t>
            </w:r>
            <w:r w:rsidRPr="00F15F46">
              <w:rPr>
                <w:rFonts w:asciiTheme="minorHAnsi" w:hAnsiTheme="minorHAnsi" w:cstheme="minorHAnsi"/>
                <w:color w:val="993300"/>
                <w:sz w:val="18"/>
                <w:szCs w:val="18"/>
                <w:highlight w:val="white"/>
                <w:lang w:val="de-DE"/>
              </w:rPr>
              <w:t>"http://www.iho.int/s100gml/1.0"</w:t>
            </w:r>
            <w:r w:rsidRPr="00F15F46">
              <w:rPr>
                <w:rFonts w:asciiTheme="minorHAnsi" w:hAnsiTheme="minorHAnsi" w:cstheme="minorHAnsi"/>
                <w:color w:val="000000"/>
                <w:sz w:val="18"/>
                <w:szCs w:val="18"/>
                <w:highlight w:val="white"/>
                <w:lang w:val="de-DE"/>
              </w:rPr>
              <w:br/>
            </w:r>
            <w:r w:rsidRPr="00F15F46">
              <w:rPr>
                <w:rFonts w:asciiTheme="minorHAnsi" w:hAnsiTheme="minorHAnsi" w:cstheme="minorHAnsi"/>
                <w:color w:val="F5844C"/>
                <w:sz w:val="18"/>
                <w:szCs w:val="18"/>
                <w:highlight w:val="white"/>
                <w:lang w:val="de-DE"/>
              </w:rPr>
              <w:t xml:space="preserve"> </w:t>
            </w:r>
            <w:r w:rsidRPr="00F15F46">
              <w:rPr>
                <w:rFonts w:asciiTheme="minorHAnsi" w:hAnsiTheme="minorHAnsi" w:cstheme="minorHAnsi"/>
                <w:color w:val="0099CC"/>
                <w:sz w:val="18"/>
                <w:szCs w:val="18"/>
                <w:highlight w:val="white"/>
                <w:lang w:val="de-DE"/>
              </w:rPr>
              <w:t>xmlns:S100EXT</w:t>
            </w:r>
            <w:r w:rsidRPr="00F15F46">
              <w:rPr>
                <w:rFonts w:asciiTheme="minorHAnsi" w:hAnsiTheme="minorHAnsi" w:cstheme="minorHAnsi"/>
                <w:color w:val="FF8040"/>
                <w:sz w:val="18"/>
                <w:szCs w:val="18"/>
                <w:highlight w:val="white"/>
                <w:lang w:val="de-DE"/>
              </w:rPr>
              <w:t>=</w:t>
            </w:r>
            <w:r w:rsidRPr="00F15F46">
              <w:rPr>
                <w:rFonts w:asciiTheme="minorHAnsi" w:hAnsiTheme="minorHAnsi" w:cstheme="minorHAnsi"/>
                <w:color w:val="993300"/>
                <w:sz w:val="18"/>
                <w:szCs w:val="18"/>
                <w:highlight w:val="white"/>
                <w:lang w:val="de-DE"/>
              </w:rPr>
              <w:t>"http://www.iho.int/s100gml/1.0+EXT"</w:t>
            </w:r>
            <w:r w:rsidRPr="00F15F46">
              <w:rPr>
                <w:rFonts w:asciiTheme="minorHAnsi" w:hAnsiTheme="minorHAnsi" w:cstheme="minorHAnsi"/>
                <w:color w:val="000000"/>
                <w:sz w:val="18"/>
                <w:szCs w:val="18"/>
                <w:highlight w:val="white"/>
                <w:lang w:val="de-DE"/>
              </w:rPr>
              <w:br/>
            </w:r>
            <w:r w:rsidRPr="00F15F46">
              <w:rPr>
                <w:rFonts w:asciiTheme="minorHAnsi" w:hAnsiTheme="minorHAnsi" w:cstheme="minorHAnsi"/>
                <w:color w:val="F5844C"/>
                <w:sz w:val="18"/>
                <w:szCs w:val="18"/>
                <w:highlight w:val="white"/>
                <w:lang w:val="de-DE"/>
              </w:rPr>
              <w:t xml:space="preserve"> </w:t>
            </w:r>
            <w:r w:rsidRPr="00F15F46">
              <w:rPr>
                <w:rFonts w:asciiTheme="minorHAnsi" w:hAnsiTheme="minorHAnsi" w:cstheme="minorHAnsi"/>
                <w:color w:val="0099CC"/>
                <w:sz w:val="18"/>
                <w:szCs w:val="18"/>
                <w:highlight w:val="white"/>
                <w:lang w:val="de-DE"/>
              </w:rPr>
              <w:t>xmlns:s100_profile</w:t>
            </w:r>
            <w:r w:rsidRPr="00F15F46">
              <w:rPr>
                <w:rFonts w:asciiTheme="minorHAnsi" w:hAnsiTheme="minorHAnsi" w:cstheme="minorHAnsi"/>
                <w:color w:val="FF8040"/>
                <w:sz w:val="18"/>
                <w:szCs w:val="18"/>
                <w:highlight w:val="white"/>
                <w:lang w:val="de-DE"/>
              </w:rPr>
              <w:t>=</w:t>
            </w:r>
            <w:r w:rsidRPr="00F15F46">
              <w:rPr>
                <w:rFonts w:asciiTheme="minorHAnsi" w:hAnsiTheme="minorHAnsi" w:cstheme="minorHAnsi"/>
                <w:color w:val="993300"/>
                <w:sz w:val="18"/>
                <w:szCs w:val="18"/>
                <w:highlight w:val="white"/>
                <w:lang w:val="de-DE"/>
              </w:rPr>
              <w:t>"http://www.iho.int/S-100/profile/s100_gmlProfile"</w:t>
            </w:r>
            <w:r w:rsidRPr="00F15F46">
              <w:rPr>
                <w:rFonts w:asciiTheme="minorHAnsi" w:hAnsiTheme="minorHAnsi" w:cstheme="minorHAnsi"/>
                <w:color w:val="000000"/>
                <w:sz w:val="18"/>
                <w:szCs w:val="18"/>
                <w:highlight w:val="white"/>
                <w:lang w:val="de-DE"/>
              </w:rPr>
              <w:br/>
            </w:r>
            <w:r w:rsidRPr="00F15F46">
              <w:rPr>
                <w:rFonts w:asciiTheme="minorHAnsi" w:hAnsiTheme="minorHAnsi" w:cstheme="minorHAnsi"/>
                <w:color w:val="F5844C"/>
                <w:sz w:val="18"/>
                <w:szCs w:val="18"/>
                <w:highlight w:val="white"/>
                <w:lang w:val="de-DE"/>
              </w:rPr>
              <w:t xml:space="preserve"> </w:t>
            </w:r>
            <w:r w:rsidRPr="00F15F46">
              <w:rPr>
                <w:rFonts w:asciiTheme="minorHAnsi" w:hAnsiTheme="minorHAnsi" w:cstheme="minorHAnsi"/>
                <w:color w:val="0099CC"/>
                <w:sz w:val="18"/>
                <w:szCs w:val="18"/>
                <w:highlight w:val="white"/>
                <w:lang w:val="de-DE"/>
              </w:rPr>
              <w:t>xmlns:xlink</w:t>
            </w:r>
            <w:r w:rsidRPr="00F15F46">
              <w:rPr>
                <w:rFonts w:asciiTheme="minorHAnsi" w:hAnsiTheme="minorHAnsi" w:cstheme="minorHAnsi"/>
                <w:color w:val="FF8040"/>
                <w:sz w:val="18"/>
                <w:szCs w:val="18"/>
                <w:highlight w:val="white"/>
                <w:lang w:val="de-DE"/>
              </w:rPr>
              <w:t>=</w:t>
            </w:r>
            <w:r w:rsidRPr="00F15F46">
              <w:rPr>
                <w:rFonts w:asciiTheme="minorHAnsi" w:hAnsiTheme="minorHAnsi" w:cstheme="minorHAnsi"/>
                <w:color w:val="993300"/>
                <w:sz w:val="18"/>
                <w:szCs w:val="18"/>
                <w:highlight w:val="white"/>
                <w:lang w:val="de-DE"/>
              </w:rPr>
              <w:t>"http://www.w3.org/1999/xlink"</w:t>
            </w:r>
            <w:r w:rsidRPr="00F15F46">
              <w:rPr>
                <w:rFonts w:asciiTheme="minorHAnsi" w:hAnsiTheme="minorHAnsi" w:cstheme="minorHAnsi"/>
                <w:color w:val="000096"/>
                <w:sz w:val="18"/>
                <w:szCs w:val="18"/>
                <w:highlight w:val="white"/>
                <w:lang w:val="de-DE"/>
              </w:rPr>
              <w:t>&gt;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&lt;description&gt;</w:t>
            </w:r>
            <w:r w:rsidRPr="00F15F46">
              <w:rPr>
                <w:rFonts w:asciiTheme="minorHAnsi" w:hAnsiTheme="minorHAnsi" w:cstheme="minorHAnsi"/>
                <w:color w:val="000000"/>
                <w:sz w:val="18"/>
                <w:szCs w:val="18"/>
                <w:highlight w:val="white"/>
                <w:lang w:val="de-DE"/>
              </w:rPr>
              <w:t>Navigational Warning Dataset provided by NW-Service XY</w:t>
            </w:r>
            <w:r w:rsidRPr="00F15F46">
              <w:rPr>
                <w:rFonts w:asciiTheme="minorHAnsi" w:hAnsiTheme="minorHAnsi" w:cstheme="minorHAnsi"/>
                <w:color w:val="000096"/>
                <w:sz w:val="18"/>
                <w:szCs w:val="18"/>
                <w:highlight w:val="white"/>
                <w:lang w:val="de-DE"/>
              </w:rPr>
              <w:t>&lt;/description&gt;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&lt;issueDate&gt;</w:t>
            </w:r>
            <w:r w:rsidRPr="00F15F46">
              <w:rPr>
                <w:rFonts w:asciiTheme="minorHAnsi" w:hAnsiTheme="minorHAnsi" w:cstheme="minorHAnsi"/>
                <w:color w:val="000000"/>
                <w:sz w:val="18"/>
                <w:szCs w:val="18"/>
                <w:highlight w:val="white"/>
                <w:lang w:val="de-DE"/>
              </w:rPr>
              <w:t>2019-05-04</w:t>
            </w:r>
            <w:r w:rsidRPr="00F15F46">
              <w:rPr>
                <w:rFonts w:asciiTheme="minorHAnsi" w:hAnsiTheme="minorHAnsi" w:cstheme="minorHAnsi"/>
                <w:color w:val="000096"/>
                <w:sz w:val="18"/>
                <w:szCs w:val="18"/>
                <w:highlight w:val="white"/>
                <w:lang w:val="de-DE"/>
              </w:rPr>
              <w:t>&lt;/issueDate&gt;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&lt;issueTime&gt;</w:t>
            </w:r>
            <w:r w:rsidRPr="00F15F46">
              <w:rPr>
                <w:rFonts w:asciiTheme="minorHAnsi" w:hAnsiTheme="minorHAnsi" w:cstheme="minorHAnsi"/>
                <w:color w:val="000000"/>
                <w:sz w:val="18"/>
                <w:szCs w:val="18"/>
                <w:highlight w:val="white"/>
                <w:lang w:val="de-DE"/>
              </w:rPr>
              <w:t>18:13:52.0</w:t>
            </w:r>
            <w:r w:rsidRPr="00F15F46">
              <w:rPr>
                <w:rFonts w:asciiTheme="minorHAnsi" w:hAnsiTheme="minorHAnsi" w:cstheme="minorHAnsi"/>
                <w:color w:val="000096"/>
                <w:sz w:val="18"/>
                <w:szCs w:val="18"/>
                <w:highlight w:val="white"/>
                <w:lang w:val="de-DE"/>
              </w:rPr>
              <w:t>&lt;/issueTime&gt;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&lt;digitalSignatureValue&gt;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&lt;S100:DigitalSignature&gt;</w:t>
            </w:r>
            <w:r w:rsidRPr="00F15F46">
              <w:rPr>
                <w:rFonts w:asciiTheme="minorHAnsi" w:hAnsiTheme="minorHAnsi" w:cstheme="minorHAnsi"/>
                <w:color w:val="000000"/>
                <w:sz w:val="18"/>
                <w:szCs w:val="18"/>
                <w:highlight w:val="white"/>
                <w:lang w:val="de-DE"/>
              </w:rPr>
              <w:br/>
              <w:t xml:space="preserve">   302C021433796C6647CC1C55A67DC72FA7C6E157A6594B2B02145D3768B44F3A6ABA11A77178B738AD3B6A0DE344</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&lt;/S100:DigitalSignature&gt;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&lt;/digitalSignatureValue&gt;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&lt;digitalSignatureReference&gt;</w:t>
            </w:r>
            <w:r w:rsidRPr="00F15F46">
              <w:rPr>
                <w:rFonts w:asciiTheme="minorHAnsi" w:hAnsiTheme="minorHAnsi" w:cstheme="minorHAnsi"/>
                <w:color w:val="000000"/>
                <w:sz w:val="18"/>
                <w:szCs w:val="18"/>
                <w:highlight w:val="white"/>
                <w:lang w:val="de-DE"/>
              </w:rPr>
              <w:t>dsa</w:t>
            </w:r>
            <w:r w:rsidRPr="00F15F46">
              <w:rPr>
                <w:rFonts w:asciiTheme="minorHAnsi" w:hAnsiTheme="minorHAnsi" w:cstheme="minorHAnsi"/>
                <w:color w:val="000096"/>
                <w:sz w:val="18"/>
                <w:szCs w:val="18"/>
                <w:highlight w:val="white"/>
                <w:lang w:val="de-DE"/>
              </w:rPr>
              <w:t>&lt;/digitalSignatureReference&gt;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&lt;composedOf&gt;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&lt;S124:DataSet</w:t>
            </w:r>
            <w:r w:rsidRPr="00F15F46">
              <w:rPr>
                <w:rFonts w:asciiTheme="minorHAnsi" w:hAnsiTheme="minorHAnsi" w:cstheme="minorHAnsi"/>
                <w:color w:val="F5844C"/>
                <w:sz w:val="18"/>
                <w:szCs w:val="18"/>
                <w:highlight w:val="white"/>
                <w:lang w:val="de-DE"/>
              </w:rPr>
              <w:t xml:space="preserve"> </w:t>
            </w:r>
            <w:r w:rsidRPr="00F15F46">
              <w:rPr>
                <w:rFonts w:asciiTheme="minorHAnsi" w:hAnsiTheme="minorHAnsi" w:cstheme="minorHAnsi"/>
                <w:color w:val="000000"/>
                <w:sz w:val="18"/>
                <w:szCs w:val="18"/>
                <w:highlight w:val="white"/>
                <w:lang w:val="de-DE"/>
              </w:rPr>
              <w:br/>
            </w:r>
            <w:r w:rsidRPr="00F15F46">
              <w:rPr>
                <w:rFonts w:asciiTheme="minorHAnsi" w:hAnsiTheme="minorHAnsi" w:cstheme="minorHAnsi"/>
                <w:color w:val="F5844C"/>
                <w:sz w:val="18"/>
                <w:szCs w:val="18"/>
                <w:highlight w:val="white"/>
                <w:lang w:val="de-DE"/>
              </w:rPr>
              <w:t xml:space="preserve">   </w:t>
            </w:r>
            <w:r w:rsidRPr="00F15F46">
              <w:rPr>
                <w:rFonts w:asciiTheme="minorHAnsi" w:hAnsiTheme="minorHAnsi" w:cstheme="minorHAnsi"/>
                <w:color w:val="0099CC"/>
                <w:sz w:val="18"/>
                <w:szCs w:val="18"/>
                <w:highlight w:val="white"/>
                <w:lang w:val="de-DE"/>
              </w:rPr>
              <w:t>xmlns:S124</w:t>
            </w:r>
            <w:r w:rsidRPr="00F15F46">
              <w:rPr>
                <w:rFonts w:asciiTheme="minorHAnsi" w:hAnsiTheme="minorHAnsi" w:cstheme="minorHAnsi"/>
                <w:color w:val="FF8040"/>
                <w:sz w:val="18"/>
                <w:szCs w:val="18"/>
                <w:highlight w:val="white"/>
                <w:lang w:val="de-DE"/>
              </w:rPr>
              <w:t>=</w:t>
            </w:r>
            <w:r w:rsidRPr="00F15F46">
              <w:rPr>
                <w:rFonts w:asciiTheme="minorHAnsi" w:hAnsiTheme="minorHAnsi" w:cstheme="minorHAnsi"/>
                <w:color w:val="993300"/>
                <w:sz w:val="18"/>
                <w:szCs w:val="18"/>
                <w:highlight w:val="white"/>
                <w:lang w:val="de-DE"/>
              </w:rPr>
              <w:t>"http://www.iho.int/S124/gml/cs0/0.1"</w:t>
            </w:r>
            <w:r w:rsidRPr="00F15F46">
              <w:rPr>
                <w:rFonts w:asciiTheme="minorHAnsi" w:hAnsiTheme="minorHAnsi" w:cstheme="minorHAnsi"/>
                <w:color w:val="000000"/>
                <w:sz w:val="18"/>
                <w:szCs w:val="18"/>
                <w:highlight w:val="white"/>
                <w:lang w:val="de-DE"/>
              </w:rPr>
              <w:br/>
            </w:r>
            <w:r w:rsidRPr="00F15F46">
              <w:rPr>
                <w:rFonts w:asciiTheme="minorHAnsi" w:hAnsiTheme="minorHAnsi" w:cstheme="minorHAnsi"/>
                <w:color w:val="F5844C"/>
                <w:sz w:val="18"/>
                <w:szCs w:val="18"/>
                <w:highlight w:val="white"/>
                <w:lang w:val="de-DE"/>
              </w:rPr>
              <w:t xml:space="preserve">   </w:t>
            </w:r>
            <w:r w:rsidRPr="00F15F46">
              <w:rPr>
                <w:rFonts w:asciiTheme="minorHAnsi" w:hAnsiTheme="minorHAnsi" w:cstheme="minorHAnsi"/>
                <w:color w:val="0099CC"/>
                <w:sz w:val="18"/>
                <w:szCs w:val="18"/>
                <w:highlight w:val="white"/>
                <w:lang w:val="de-DE"/>
              </w:rPr>
              <w:t>xmlns:xsi</w:t>
            </w:r>
            <w:r w:rsidRPr="00F15F46">
              <w:rPr>
                <w:rFonts w:asciiTheme="minorHAnsi" w:hAnsiTheme="minorHAnsi" w:cstheme="minorHAnsi"/>
                <w:color w:val="FF8040"/>
                <w:sz w:val="18"/>
                <w:szCs w:val="18"/>
                <w:highlight w:val="white"/>
                <w:lang w:val="de-DE"/>
              </w:rPr>
              <w:t>=</w:t>
            </w:r>
            <w:r w:rsidRPr="00F15F46">
              <w:rPr>
                <w:rFonts w:asciiTheme="minorHAnsi" w:hAnsiTheme="minorHAnsi" w:cstheme="minorHAnsi"/>
                <w:color w:val="993300"/>
                <w:sz w:val="18"/>
                <w:szCs w:val="18"/>
                <w:highlight w:val="white"/>
                <w:lang w:val="de-DE"/>
              </w:rPr>
              <w:t>"http://www.w3.org/2001/XMLSchema-instance"</w:t>
            </w:r>
            <w:r w:rsidRPr="00F15F46">
              <w:rPr>
                <w:rFonts w:asciiTheme="minorHAnsi" w:hAnsiTheme="minorHAnsi" w:cstheme="minorHAnsi"/>
                <w:color w:val="000000"/>
                <w:sz w:val="18"/>
                <w:szCs w:val="18"/>
                <w:highlight w:val="white"/>
                <w:lang w:val="de-DE"/>
              </w:rPr>
              <w:br/>
            </w:r>
            <w:r w:rsidRPr="00F15F46">
              <w:rPr>
                <w:rFonts w:asciiTheme="minorHAnsi" w:hAnsiTheme="minorHAnsi" w:cstheme="minorHAnsi"/>
                <w:color w:val="F5844C"/>
                <w:sz w:val="18"/>
                <w:szCs w:val="18"/>
                <w:highlight w:val="white"/>
                <w:lang w:val="de-DE"/>
              </w:rPr>
              <w:t xml:space="preserve">   xsi:schemaLocation</w:t>
            </w:r>
            <w:r w:rsidRPr="00F15F46">
              <w:rPr>
                <w:rFonts w:asciiTheme="minorHAnsi" w:hAnsiTheme="minorHAnsi" w:cstheme="minorHAnsi"/>
                <w:color w:val="FF8040"/>
                <w:sz w:val="18"/>
                <w:szCs w:val="18"/>
                <w:highlight w:val="white"/>
                <w:lang w:val="de-DE"/>
              </w:rPr>
              <w:t>=</w:t>
            </w:r>
            <w:r w:rsidRPr="00F15F46">
              <w:rPr>
                <w:rFonts w:asciiTheme="minorHAnsi" w:hAnsiTheme="minorHAnsi" w:cstheme="minorHAnsi"/>
                <w:color w:val="993300"/>
                <w:sz w:val="18"/>
                <w:szCs w:val="18"/>
                <w:highlight w:val="white"/>
                <w:lang w:val="de-DE"/>
              </w:rPr>
              <w:t>"http://www.iho.int/S124/gml/cs0/0.1 .../S124.xsd"</w:t>
            </w:r>
            <w:r w:rsidRPr="00F15F46">
              <w:rPr>
                <w:rFonts w:asciiTheme="minorHAnsi" w:hAnsiTheme="minorHAnsi" w:cstheme="minorHAnsi"/>
                <w:color w:val="F5844C"/>
                <w:sz w:val="18"/>
                <w:szCs w:val="18"/>
                <w:highlight w:val="white"/>
                <w:lang w:val="de-DE"/>
              </w:rPr>
              <w:t xml:space="preserve"> gml:id</w:t>
            </w:r>
            <w:r w:rsidRPr="00F15F46">
              <w:rPr>
                <w:rFonts w:asciiTheme="minorHAnsi" w:hAnsiTheme="minorHAnsi" w:cstheme="minorHAnsi"/>
                <w:color w:val="FF8040"/>
                <w:sz w:val="18"/>
                <w:szCs w:val="18"/>
                <w:highlight w:val="white"/>
                <w:lang w:val="de-DE"/>
              </w:rPr>
              <w:t>=</w:t>
            </w:r>
            <w:r w:rsidRPr="00F15F46">
              <w:rPr>
                <w:rFonts w:asciiTheme="minorHAnsi" w:hAnsiTheme="minorHAnsi" w:cstheme="minorHAnsi"/>
                <w:color w:val="993300"/>
                <w:sz w:val="18"/>
                <w:szCs w:val="18"/>
                <w:highlight w:val="white"/>
                <w:lang w:val="de-DE"/>
              </w:rPr>
              <w:t>"ds"</w:t>
            </w:r>
            <w:r w:rsidRPr="00F15F46">
              <w:rPr>
                <w:rFonts w:asciiTheme="minorHAnsi" w:hAnsiTheme="minorHAnsi" w:cstheme="minorHAnsi"/>
                <w:color w:val="000096"/>
                <w:sz w:val="18"/>
                <w:szCs w:val="18"/>
                <w:highlight w:val="white"/>
                <w:lang w:val="de-DE"/>
              </w:rPr>
              <w:t>&gt;</w:t>
            </w:r>
            <w:r w:rsidRPr="00F15F46">
              <w:rPr>
                <w:rFonts w:asciiTheme="minorHAnsi" w:hAnsiTheme="minorHAnsi" w:cstheme="minorHAnsi"/>
                <w:color w:val="000000"/>
                <w:sz w:val="18"/>
                <w:szCs w:val="18"/>
                <w:highlight w:val="white"/>
                <w:lang w:val="de-DE"/>
              </w:rPr>
              <w:br/>
            </w:r>
            <w:r w:rsidRPr="00F15F46">
              <w:rPr>
                <w:rFonts w:asciiTheme="minorHAnsi" w:hAnsiTheme="minorHAnsi" w:cstheme="minorHAnsi"/>
                <w:color w:val="000000"/>
                <w:sz w:val="18"/>
                <w:szCs w:val="18"/>
                <w:highlight w:val="white"/>
                <w:lang w:val="de-DE"/>
              </w:rPr>
              <w:lastRenderedPageBreak/>
              <w:t xml:space="preserve">   </w:t>
            </w:r>
            <w:r w:rsidRPr="00F15F46">
              <w:rPr>
                <w:rFonts w:asciiTheme="minorHAnsi" w:hAnsiTheme="minorHAnsi" w:cstheme="minorHAnsi"/>
                <w:color w:val="000096"/>
                <w:sz w:val="18"/>
                <w:szCs w:val="18"/>
                <w:highlight w:val="white"/>
                <w:lang w:val="de-DE"/>
              </w:rPr>
              <w:t>&lt;gml:boundedBy&gt;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&lt;gml:Envelope</w:t>
            </w:r>
            <w:r w:rsidRPr="00F15F46">
              <w:rPr>
                <w:rFonts w:asciiTheme="minorHAnsi" w:hAnsiTheme="minorHAnsi" w:cstheme="minorHAnsi"/>
                <w:color w:val="F5844C"/>
                <w:sz w:val="18"/>
                <w:szCs w:val="18"/>
                <w:highlight w:val="white"/>
                <w:lang w:val="de-DE"/>
              </w:rPr>
              <w:t xml:space="preserve"> srsName</w:t>
            </w:r>
            <w:r w:rsidRPr="00F15F46">
              <w:rPr>
                <w:rFonts w:asciiTheme="minorHAnsi" w:hAnsiTheme="minorHAnsi" w:cstheme="minorHAnsi"/>
                <w:color w:val="FF8040"/>
                <w:sz w:val="18"/>
                <w:szCs w:val="18"/>
                <w:highlight w:val="white"/>
                <w:lang w:val="de-DE"/>
              </w:rPr>
              <w:t>=</w:t>
            </w:r>
            <w:r w:rsidRPr="00F15F46">
              <w:rPr>
                <w:rFonts w:asciiTheme="minorHAnsi" w:hAnsiTheme="minorHAnsi" w:cstheme="minorHAnsi"/>
                <w:color w:val="993300"/>
                <w:sz w:val="18"/>
                <w:szCs w:val="18"/>
                <w:highlight w:val="white"/>
                <w:lang w:val="de-DE"/>
              </w:rPr>
              <w:t>"http://www.opengis.net/def/crs/EPSG/0/4326"</w:t>
            </w:r>
            <w:r w:rsidRPr="00F15F46">
              <w:rPr>
                <w:rFonts w:asciiTheme="minorHAnsi" w:hAnsiTheme="minorHAnsi" w:cstheme="minorHAnsi"/>
                <w:color w:val="000096"/>
                <w:sz w:val="18"/>
                <w:szCs w:val="18"/>
                <w:highlight w:val="white"/>
                <w:lang w:val="de-DE"/>
              </w:rPr>
              <w:t>&gt;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&lt;gml:lowerCorner&gt;</w:t>
            </w:r>
            <w:r w:rsidRPr="00F15F46">
              <w:rPr>
                <w:rFonts w:asciiTheme="minorHAnsi" w:hAnsiTheme="minorHAnsi" w:cstheme="minorHAnsi"/>
                <w:color w:val="000000"/>
                <w:sz w:val="18"/>
                <w:szCs w:val="18"/>
                <w:highlight w:val="white"/>
                <w:lang w:val="de-DE"/>
              </w:rPr>
              <w:t>53.602678 6.934154</w:t>
            </w:r>
            <w:r w:rsidRPr="00F15F46">
              <w:rPr>
                <w:rFonts w:asciiTheme="minorHAnsi" w:hAnsiTheme="minorHAnsi" w:cstheme="minorHAnsi"/>
                <w:color w:val="000096"/>
                <w:sz w:val="18"/>
                <w:szCs w:val="18"/>
                <w:highlight w:val="white"/>
                <w:lang w:val="de-DE"/>
              </w:rPr>
              <w:t>&lt;/gml:lowerCorner&gt;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&lt;gml:upperCorner&gt;</w:t>
            </w:r>
            <w:r w:rsidRPr="00F15F46">
              <w:rPr>
                <w:rFonts w:asciiTheme="minorHAnsi" w:hAnsiTheme="minorHAnsi" w:cstheme="minorHAnsi"/>
                <w:color w:val="000000"/>
                <w:sz w:val="18"/>
                <w:szCs w:val="18"/>
                <w:highlight w:val="white"/>
                <w:lang w:val="de-DE"/>
              </w:rPr>
              <w:t>53.922239 7.528269</w:t>
            </w:r>
            <w:r w:rsidRPr="00F15F46">
              <w:rPr>
                <w:rFonts w:asciiTheme="minorHAnsi" w:hAnsiTheme="minorHAnsi" w:cstheme="minorHAnsi"/>
                <w:color w:val="000096"/>
                <w:sz w:val="18"/>
                <w:szCs w:val="18"/>
                <w:highlight w:val="white"/>
                <w:lang w:val="de-DE"/>
              </w:rPr>
              <w:t>&lt;/gml:upperCorner&gt;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&lt;/gml:Envelope&gt;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&lt;/gml:boundedBy&gt;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&lt;S124:References</w:t>
            </w:r>
            <w:r w:rsidRPr="00F15F46">
              <w:rPr>
                <w:rFonts w:asciiTheme="minorHAnsi" w:hAnsiTheme="minorHAnsi" w:cstheme="minorHAnsi"/>
                <w:color w:val="F5844C"/>
                <w:sz w:val="18"/>
                <w:szCs w:val="18"/>
                <w:highlight w:val="white"/>
                <w:lang w:val="de-DE"/>
              </w:rPr>
              <w:t xml:space="preserve"> gml:id</w:t>
            </w:r>
            <w:r w:rsidRPr="00F15F46">
              <w:rPr>
                <w:rFonts w:asciiTheme="minorHAnsi" w:hAnsiTheme="minorHAnsi" w:cstheme="minorHAnsi"/>
                <w:color w:val="FF8040"/>
                <w:sz w:val="18"/>
                <w:szCs w:val="18"/>
                <w:highlight w:val="white"/>
                <w:lang w:val="de-DE"/>
              </w:rPr>
              <w:t>=</w:t>
            </w:r>
            <w:r w:rsidRPr="00F15F46">
              <w:rPr>
                <w:rFonts w:asciiTheme="minorHAnsi" w:hAnsiTheme="minorHAnsi" w:cstheme="minorHAnsi"/>
                <w:color w:val="993300"/>
                <w:sz w:val="18"/>
                <w:szCs w:val="18"/>
                <w:highlight w:val="white"/>
                <w:lang w:val="de-DE"/>
              </w:rPr>
              <w:t>"references"</w:t>
            </w:r>
            <w:r w:rsidRPr="00F15F46">
              <w:rPr>
                <w:rFonts w:asciiTheme="minorHAnsi" w:hAnsiTheme="minorHAnsi" w:cstheme="minorHAnsi"/>
                <w:color w:val="000096"/>
                <w:sz w:val="18"/>
                <w:szCs w:val="18"/>
                <w:highlight w:val="white"/>
                <w:lang w:val="de-DE"/>
              </w:rPr>
              <w:t>&gt;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&lt;messageSeriesIdentifier&gt;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&lt;nameOfSeries&gt;</w:t>
            </w:r>
            <w:r w:rsidRPr="00F15F46">
              <w:rPr>
                <w:rFonts w:asciiTheme="minorHAnsi" w:hAnsiTheme="minorHAnsi" w:cstheme="minorHAnsi"/>
                <w:color w:val="000000"/>
                <w:sz w:val="18"/>
                <w:szCs w:val="18"/>
                <w:highlight w:val="white"/>
                <w:lang w:val="de-DE"/>
              </w:rPr>
              <w:t>Navigational Warnings</w:t>
            </w:r>
            <w:r w:rsidRPr="00F15F46">
              <w:rPr>
                <w:rFonts w:asciiTheme="minorHAnsi" w:hAnsiTheme="minorHAnsi" w:cstheme="minorHAnsi"/>
                <w:color w:val="000096"/>
                <w:sz w:val="18"/>
                <w:szCs w:val="18"/>
                <w:highlight w:val="white"/>
                <w:lang w:val="de-DE"/>
              </w:rPr>
              <w:t>&lt;/nameOfSeries&gt;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&lt;warningNumber&gt;</w:t>
            </w:r>
            <w:r w:rsidRPr="00F15F46">
              <w:rPr>
                <w:rFonts w:asciiTheme="minorHAnsi" w:hAnsiTheme="minorHAnsi" w:cstheme="minorHAnsi"/>
                <w:color w:val="000000"/>
                <w:sz w:val="18"/>
                <w:szCs w:val="18"/>
                <w:highlight w:val="white"/>
                <w:lang w:val="de-DE"/>
              </w:rPr>
              <w:t>0</w:t>
            </w:r>
            <w:r w:rsidRPr="00F15F46">
              <w:rPr>
                <w:rFonts w:asciiTheme="minorHAnsi" w:hAnsiTheme="minorHAnsi" w:cstheme="minorHAnsi"/>
                <w:color w:val="000096"/>
                <w:sz w:val="18"/>
                <w:szCs w:val="18"/>
                <w:highlight w:val="white"/>
                <w:lang w:val="de-DE"/>
              </w:rPr>
              <w:t>&lt;/warningNumber&gt;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&lt;warningType&gt;</w:t>
            </w:r>
            <w:r w:rsidRPr="00F15F46">
              <w:rPr>
                <w:rFonts w:asciiTheme="minorHAnsi" w:hAnsiTheme="minorHAnsi" w:cstheme="minorHAnsi"/>
                <w:color w:val="000000"/>
                <w:sz w:val="18"/>
                <w:szCs w:val="18"/>
                <w:highlight w:val="white"/>
                <w:lang w:val="de-DE"/>
              </w:rPr>
              <w:t>local navigational warning</w:t>
            </w:r>
            <w:r w:rsidRPr="00F15F46">
              <w:rPr>
                <w:rFonts w:asciiTheme="minorHAnsi" w:hAnsiTheme="minorHAnsi" w:cstheme="minorHAnsi"/>
                <w:color w:val="000096"/>
                <w:sz w:val="18"/>
                <w:szCs w:val="18"/>
                <w:highlight w:val="white"/>
                <w:lang w:val="de-DE"/>
              </w:rPr>
              <w:t>&lt;/warningType&gt;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&lt;year&gt;</w:t>
            </w:r>
            <w:r w:rsidRPr="00F15F46">
              <w:rPr>
                <w:rFonts w:asciiTheme="minorHAnsi" w:hAnsiTheme="minorHAnsi" w:cstheme="minorHAnsi"/>
                <w:color w:val="000000"/>
                <w:sz w:val="18"/>
                <w:szCs w:val="18"/>
                <w:highlight w:val="white"/>
                <w:lang w:val="de-DE"/>
              </w:rPr>
              <w:t>2019</w:t>
            </w:r>
            <w:r w:rsidRPr="00F15F46">
              <w:rPr>
                <w:rFonts w:asciiTheme="minorHAnsi" w:hAnsiTheme="minorHAnsi" w:cstheme="minorHAnsi"/>
                <w:color w:val="000096"/>
                <w:sz w:val="18"/>
                <w:szCs w:val="18"/>
                <w:highlight w:val="white"/>
                <w:lang w:val="de-DE"/>
              </w:rPr>
              <w:t>&lt;/year&gt;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&lt;productionAgency&gt;</w:t>
            </w:r>
            <w:r w:rsidRPr="00F15F46">
              <w:rPr>
                <w:rFonts w:asciiTheme="minorHAnsi" w:hAnsiTheme="minorHAnsi" w:cstheme="minorHAnsi"/>
                <w:color w:val="000000"/>
                <w:sz w:val="18"/>
                <w:szCs w:val="18"/>
                <w:highlight w:val="white"/>
                <w:lang w:val="de-DE"/>
              </w:rPr>
              <w:t>000</w:t>
            </w:r>
            <w:r w:rsidRPr="00F15F46">
              <w:rPr>
                <w:rFonts w:asciiTheme="minorHAnsi" w:hAnsiTheme="minorHAnsi" w:cstheme="minorHAnsi"/>
                <w:color w:val="000096"/>
                <w:sz w:val="18"/>
                <w:szCs w:val="18"/>
                <w:highlight w:val="white"/>
                <w:lang w:val="de-DE"/>
              </w:rPr>
              <w:t>&lt;/productionAgency&gt;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&lt;/messageSeriesIdentifier&gt;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&lt;referenceCategory&gt;</w:t>
            </w:r>
            <w:r w:rsidRPr="00F15F46">
              <w:rPr>
                <w:rFonts w:asciiTheme="minorHAnsi" w:hAnsiTheme="minorHAnsi" w:cstheme="minorHAnsi"/>
                <w:color w:val="000000"/>
                <w:sz w:val="18"/>
                <w:szCs w:val="18"/>
                <w:highlight w:val="white"/>
                <w:lang w:val="de-DE"/>
              </w:rPr>
              <w:t>in-force</w:t>
            </w:r>
            <w:r w:rsidRPr="00F15F46">
              <w:rPr>
                <w:rFonts w:asciiTheme="minorHAnsi" w:hAnsiTheme="minorHAnsi" w:cstheme="minorHAnsi"/>
                <w:color w:val="000096"/>
                <w:sz w:val="18"/>
                <w:szCs w:val="18"/>
                <w:highlight w:val="white"/>
                <w:lang w:val="de-DE"/>
              </w:rPr>
              <w:t>&lt;/referenceCategory&gt;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&lt;noMessageOnHand&gt;</w:t>
            </w:r>
            <w:r w:rsidRPr="00F15F46">
              <w:rPr>
                <w:rFonts w:asciiTheme="minorHAnsi" w:hAnsiTheme="minorHAnsi" w:cstheme="minorHAnsi"/>
                <w:color w:val="000000"/>
                <w:sz w:val="18"/>
                <w:szCs w:val="18"/>
                <w:highlight w:val="white"/>
                <w:lang w:val="de-DE"/>
              </w:rPr>
              <w:t>false</w:t>
            </w:r>
            <w:r w:rsidRPr="00F15F46">
              <w:rPr>
                <w:rFonts w:asciiTheme="minorHAnsi" w:hAnsiTheme="minorHAnsi" w:cstheme="minorHAnsi"/>
                <w:color w:val="000096"/>
                <w:sz w:val="18"/>
                <w:szCs w:val="18"/>
                <w:highlight w:val="white"/>
                <w:lang w:val="de-DE"/>
              </w:rPr>
              <w:t>&lt;/noMessageOnHand&gt;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&lt;theWarning</w:t>
            </w:r>
            <w:r w:rsidRPr="00F15F46">
              <w:rPr>
                <w:rFonts w:asciiTheme="minorHAnsi" w:hAnsiTheme="minorHAnsi" w:cstheme="minorHAnsi"/>
                <w:color w:val="F5844C"/>
                <w:sz w:val="18"/>
                <w:szCs w:val="18"/>
                <w:highlight w:val="white"/>
                <w:lang w:val="de-DE"/>
              </w:rPr>
              <w:t xml:space="preserve"> xlink:href</w:t>
            </w:r>
            <w:r w:rsidRPr="00F15F46">
              <w:rPr>
                <w:rFonts w:asciiTheme="minorHAnsi" w:hAnsiTheme="minorHAnsi" w:cstheme="minorHAnsi"/>
                <w:color w:val="FF8040"/>
                <w:sz w:val="18"/>
                <w:szCs w:val="18"/>
                <w:highlight w:val="white"/>
                <w:lang w:val="de-DE"/>
              </w:rPr>
              <w:t>=</w:t>
            </w:r>
            <w:r w:rsidRPr="00F15F46">
              <w:rPr>
                <w:rFonts w:asciiTheme="minorHAnsi" w:hAnsiTheme="minorHAnsi" w:cstheme="minorHAnsi"/>
                <w:color w:val="993300"/>
                <w:sz w:val="18"/>
                <w:szCs w:val="18"/>
                <w:highlight w:val="white"/>
                <w:lang w:val="de-DE"/>
              </w:rPr>
              <w:t>"#preamble"</w:t>
            </w:r>
            <w:r w:rsidRPr="00F15F46">
              <w:rPr>
                <w:rFonts w:asciiTheme="minorHAnsi" w:hAnsiTheme="minorHAnsi" w:cstheme="minorHAnsi"/>
                <w:color w:val="000096"/>
                <w:sz w:val="18"/>
                <w:szCs w:val="18"/>
                <w:highlight w:val="white"/>
                <w:lang w:val="de-DE"/>
              </w:rPr>
              <w:t>/&gt;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&lt;/S124:References&gt;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&lt;S124:NWPreamble</w:t>
            </w:r>
            <w:r w:rsidRPr="00F15F46">
              <w:rPr>
                <w:rFonts w:asciiTheme="minorHAnsi" w:hAnsiTheme="minorHAnsi" w:cstheme="minorHAnsi"/>
                <w:color w:val="F5844C"/>
                <w:sz w:val="18"/>
                <w:szCs w:val="18"/>
                <w:highlight w:val="white"/>
                <w:lang w:val="de-DE"/>
              </w:rPr>
              <w:t xml:space="preserve"> gml:id</w:t>
            </w:r>
            <w:r w:rsidRPr="00F15F46">
              <w:rPr>
                <w:rFonts w:asciiTheme="minorHAnsi" w:hAnsiTheme="minorHAnsi" w:cstheme="minorHAnsi"/>
                <w:color w:val="FF8040"/>
                <w:sz w:val="18"/>
                <w:szCs w:val="18"/>
                <w:highlight w:val="white"/>
                <w:lang w:val="de-DE"/>
              </w:rPr>
              <w:t>=</w:t>
            </w:r>
            <w:r w:rsidRPr="00F15F46">
              <w:rPr>
                <w:rFonts w:asciiTheme="minorHAnsi" w:hAnsiTheme="minorHAnsi" w:cstheme="minorHAnsi"/>
                <w:color w:val="993300"/>
                <w:sz w:val="18"/>
                <w:szCs w:val="18"/>
                <w:highlight w:val="white"/>
                <w:lang w:val="de-DE"/>
              </w:rPr>
              <w:t>"preamble"</w:t>
            </w:r>
            <w:r w:rsidRPr="00F15F46">
              <w:rPr>
                <w:rFonts w:asciiTheme="minorHAnsi" w:hAnsiTheme="minorHAnsi" w:cstheme="minorHAnsi"/>
                <w:color w:val="000096"/>
                <w:sz w:val="18"/>
                <w:szCs w:val="18"/>
                <w:highlight w:val="white"/>
                <w:lang w:val="de-DE"/>
              </w:rPr>
              <w:t>&gt;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&lt;messageSeriesIdentifier&gt;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&lt;nameOfSeries&gt;</w:t>
            </w:r>
            <w:r w:rsidRPr="00F15F46">
              <w:rPr>
                <w:rFonts w:asciiTheme="minorHAnsi" w:hAnsiTheme="minorHAnsi" w:cstheme="minorHAnsi"/>
                <w:color w:val="000000"/>
                <w:sz w:val="18"/>
                <w:szCs w:val="18"/>
                <w:highlight w:val="white"/>
                <w:lang w:val="de-DE"/>
              </w:rPr>
              <w:t>Navigational Warnings</w:t>
            </w:r>
            <w:r w:rsidRPr="00F15F46">
              <w:rPr>
                <w:rFonts w:asciiTheme="minorHAnsi" w:hAnsiTheme="minorHAnsi" w:cstheme="minorHAnsi"/>
                <w:color w:val="000096"/>
                <w:sz w:val="18"/>
                <w:szCs w:val="18"/>
                <w:highlight w:val="white"/>
                <w:lang w:val="de-DE"/>
              </w:rPr>
              <w:t>&lt;/nameOfSeries&gt;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&lt;warningNumber&gt;</w:t>
            </w:r>
            <w:r w:rsidRPr="00F15F46">
              <w:rPr>
                <w:rFonts w:asciiTheme="minorHAnsi" w:hAnsiTheme="minorHAnsi" w:cstheme="minorHAnsi"/>
                <w:color w:val="000000"/>
                <w:sz w:val="18"/>
                <w:szCs w:val="18"/>
                <w:highlight w:val="white"/>
                <w:lang w:val="de-DE"/>
              </w:rPr>
              <w:t>0</w:t>
            </w:r>
            <w:r w:rsidRPr="00F15F46">
              <w:rPr>
                <w:rFonts w:asciiTheme="minorHAnsi" w:hAnsiTheme="minorHAnsi" w:cstheme="minorHAnsi"/>
                <w:color w:val="000096"/>
                <w:sz w:val="18"/>
                <w:szCs w:val="18"/>
                <w:highlight w:val="white"/>
                <w:lang w:val="de-DE"/>
              </w:rPr>
              <w:t>&lt;/warningNumber&gt;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&lt;warningType&gt;</w:t>
            </w:r>
            <w:r w:rsidRPr="00F15F46">
              <w:rPr>
                <w:rFonts w:asciiTheme="minorHAnsi" w:hAnsiTheme="minorHAnsi" w:cstheme="minorHAnsi"/>
                <w:color w:val="000000"/>
                <w:sz w:val="18"/>
                <w:szCs w:val="18"/>
                <w:highlight w:val="white"/>
                <w:lang w:val="de-DE"/>
              </w:rPr>
              <w:t>local navigational warning</w:t>
            </w:r>
            <w:r w:rsidRPr="00F15F46">
              <w:rPr>
                <w:rFonts w:asciiTheme="minorHAnsi" w:hAnsiTheme="minorHAnsi" w:cstheme="minorHAnsi"/>
                <w:color w:val="000096"/>
                <w:sz w:val="18"/>
                <w:szCs w:val="18"/>
                <w:highlight w:val="white"/>
                <w:lang w:val="de-DE"/>
              </w:rPr>
              <w:t>&lt;/warningType&gt;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&lt;year&gt;</w:t>
            </w:r>
            <w:r w:rsidRPr="00F15F46">
              <w:rPr>
                <w:rFonts w:asciiTheme="minorHAnsi" w:hAnsiTheme="minorHAnsi" w:cstheme="minorHAnsi"/>
                <w:color w:val="000000"/>
                <w:sz w:val="18"/>
                <w:szCs w:val="18"/>
                <w:highlight w:val="white"/>
                <w:lang w:val="de-DE"/>
              </w:rPr>
              <w:t>2019</w:t>
            </w:r>
            <w:r w:rsidRPr="00F15F46">
              <w:rPr>
                <w:rFonts w:asciiTheme="minorHAnsi" w:hAnsiTheme="minorHAnsi" w:cstheme="minorHAnsi"/>
                <w:color w:val="000096"/>
                <w:sz w:val="18"/>
                <w:szCs w:val="18"/>
                <w:highlight w:val="white"/>
                <w:lang w:val="de-DE"/>
              </w:rPr>
              <w:t>&lt;/year&gt;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&lt;productionAgency&gt;</w:t>
            </w:r>
            <w:r w:rsidRPr="00F15F46">
              <w:rPr>
                <w:rFonts w:asciiTheme="minorHAnsi" w:hAnsiTheme="minorHAnsi" w:cstheme="minorHAnsi"/>
                <w:color w:val="000000"/>
                <w:sz w:val="18"/>
                <w:szCs w:val="18"/>
                <w:highlight w:val="white"/>
                <w:lang w:val="de-DE"/>
              </w:rPr>
              <w:t>000</w:t>
            </w:r>
            <w:r w:rsidRPr="00F15F46">
              <w:rPr>
                <w:rFonts w:asciiTheme="minorHAnsi" w:hAnsiTheme="minorHAnsi" w:cstheme="minorHAnsi"/>
                <w:color w:val="000096"/>
                <w:sz w:val="18"/>
                <w:szCs w:val="18"/>
                <w:highlight w:val="white"/>
                <w:lang w:val="de-DE"/>
              </w:rPr>
              <w:t>&lt;/productionAgency&gt;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&lt;/messageSeriesIdentifier&gt;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&lt;publicationDate&gt;</w:t>
            </w:r>
            <w:r w:rsidRPr="00F15F46">
              <w:rPr>
                <w:rFonts w:asciiTheme="minorHAnsi" w:hAnsiTheme="minorHAnsi" w:cstheme="minorHAnsi"/>
                <w:color w:val="000000"/>
                <w:sz w:val="18"/>
                <w:szCs w:val="18"/>
                <w:highlight w:val="white"/>
                <w:lang w:val="de-DE"/>
              </w:rPr>
              <w:t>2019-05-04T18:13:51.0</w:t>
            </w:r>
            <w:r w:rsidRPr="00F15F46">
              <w:rPr>
                <w:rFonts w:asciiTheme="minorHAnsi" w:hAnsiTheme="minorHAnsi" w:cstheme="minorHAnsi"/>
                <w:color w:val="000096"/>
                <w:sz w:val="18"/>
                <w:szCs w:val="18"/>
                <w:highlight w:val="white"/>
                <w:lang w:val="de-DE"/>
              </w:rPr>
              <w:t>&lt;/publicationDate&gt;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&lt;generalArea&gt;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&lt;locationName&gt;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&lt;text&gt;</w:t>
            </w:r>
            <w:r w:rsidRPr="00F15F46">
              <w:rPr>
                <w:rFonts w:asciiTheme="minorHAnsi" w:hAnsiTheme="minorHAnsi" w:cstheme="minorHAnsi"/>
                <w:color w:val="000000"/>
                <w:sz w:val="18"/>
                <w:szCs w:val="18"/>
                <w:highlight w:val="white"/>
                <w:lang w:val="de-DE"/>
              </w:rPr>
              <w:t>Norderney</w:t>
            </w:r>
            <w:r w:rsidRPr="00F15F46">
              <w:rPr>
                <w:rFonts w:asciiTheme="minorHAnsi" w:hAnsiTheme="minorHAnsi" w:cstheme="minorHAnsi"/>
                <w:color w:val="000096"/>
                <w:sz w:val="18"/>
                <w:szCs w:val="18"/>
                <w:highlight w:val="white"/>
                <w:lang w:val="de-DE"/>
              </w:rPr>
              <w:t>&lt;/text&gt;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&lt;/locationName&gt;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&lt;locationName&gt;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&lt;text&gt;</w:t>
            </w:r>
            <w:r w:rsidRPr="00F15F46">
              <w:rPr>
                <w:rFonts w:asciiTheme="minorHAnsi" w:hAnsiTheme="minorHAnsi" w:cstheme="minorHAnsi"/>
                <w:color w:val="000000"/>
                <w:sz w:val="18"/>
                <w:szCs w:val="18"/>
                <w:highlight w:val="white"/>
                <w:lang w:val="de-DE"/>
              </w:rPr>
              <w:t>Langeoog</w:t>
            </w:r>
            <w:r w:rsidRPr="00F15F46">
              <w:rPr>
                <w:rFonts w:asciiTheme="minorHAnsi" w:hAnsiTheme="minorHAnsi" w:cstheme="minorHAnsi"/>
                <w:color w:val="000096"/>
                <w:sz w:val="18"/>
                <w:szCs w:val="18"/>
                <w:highlight w:val="white"/>
                <w:lang w:val="de-DE"/>
              </w:rPr>
              <w:t>&lt;/text&gt;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&lt;/locationName&gt;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&lt;/generalArea&gt;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&lt;theWarningPart</w:t>
            </w:r>
            <w:r w:rsidRPr="00F15F46">
              <w:rPr>
                <w:rFonts w:asciiTheme="minorHAnsi" w:hAnsiTheme="minorHAnsi" w:cstheme="minorHAnsi"/>
                <w:color w:val="F5844C"/>
                <w:sz w:val="18"/>
                <w:szCs w:val="18"/>
                <w:highlight w:val="white"/>
                <w:lang w:val="de-DE"/>
              </w:rPr>
              <w:t xml:space="preserve"> xlink:href</w:t>
            </w:r>
            <w:r w:rsidRPr="00F15F46">
              <w:rPr>
                <w:rFonts w:asciiTheme="minorHAnsi" w:hAnsiTheme="minorHAnsi" w:cstheme="minorHAnsi"/>
                <w:color w:val="FF8040"/>
                <w:sz w:val="18"/>
                <w:szCs w:val="18"/>
                <w:highlight w:val="white"/>
                <w:lang w:val="de-DE"/>
              </w:rPr>
              <w:t>=</w:t>
            </w:r>
            <w:r w:rsidRPr="00F15F46">
              <w:rPr>
                <w:rFonts w:asciiTheme="minorHAnsi" w:hAnsiTheme="minorHAnsi" w:cstheme="minorHAnsi"/>
                <w:color w:val="993300"/>
                <w:sz w:val="18"/>
                <w:szCs w:val="18"/>
                <w:highlight w:val="white"/>
                <w:lang w:val="de-DE"/>
              </w:rPr>
              <w:t>"#warning"</w:t>
            </w:r>
            <w:r w:rsidRPr="00F15F46">
              <w:rPr>
                <w:rFonts w:asciiTheme="minorHAnsi" w:hAnsiTheme="minorHAnsi" w:cstheme="minorHAnsi"/>
                <w:color w:val="000096"/>
                <w:sz w:val="18"/>
                <w:szCs w:val="18"/>
                <w:highlight w:val="white"/>
                <w:lang w:val="de-DE"/>
              </w:rPr>
              <w:t>/&gt;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&lt;/S124:NWPreamble&gt;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&lt;S124:NavigationalWarningFeaturePart</w:t>
            </w:r>
            <w:r w:rsidRPr="00F15F46">
              <w:rPr>
                <w:rFonts w:asciiTheme="minorHAnsi" w:hAnsiTheme="minorHAnsi" w:cstheme="minorHAnsi"/>
                <w:color w:val="F5844C"/>
                <w:sz w:val="18"/>
                <w:szCs w:val="18"/>
                <w:highlight w:val="white"/>
                <w:lang w:val="de-DE"/>
              </w:rPr>
              <w:t xml:space="preserve"> gml:id</w:t>
            </w:r>
            <w:r w:rsidRPr="00F15F46">
              <w:rPr>
                <w:rFonts w:asciiTheme="minorHAnsi" w:hAnsiTheme="minorHAnsi" w:cstheme="minorHAnsi"/>
                <w:color w:val="FF8040"/>
                <w:sz w:val="18"/>
                <w:szCs w:val="18"/>
                <w:highlight w:val="white"/>
                <w:lang w:val="de-DE"/>
              </w:rPr>
              <w:t>=</w:t>
            </w:r>
            <w:r w:rsidRPr="00F15F46">
              <w:rPr>
                <w:rFonts w:asciiTheme="minorHAnsi" w:hAnsiTheme="minorHAnsi" w:cstheme="minorHAnsi"/>
                <w:color w:val="993300"/>
                <w:sz w:val="18"/>
                <w:szCs w:val="18"/>
                <w:highlight w:val="white"/>
                <w:lang w:val="de-DE"/>
              </w:rPr>
              <w:t>"warning"</w:t>
            </w:r>
            <w:r w:rsidRPr="00F15F46">
              <w:rPr>
                <w:rFonts w:asciiTheme="minorHAnsi" w:hAnsiTheme="minorHAnsi" w:cstheme="minorHAnsi"/>
                <w:color w:val="000096"/>
                <w:sz w:val="18"/>
                <w:szCs w:val="18"/>
                <w:highlight w:val="white"/>
                <w:lang w:val="de-DE"/>
              </w:rPr>
              <w:t>&gt;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&lt;geometry&gt;&lt;S100:pointProperty&gt;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&lt;S100:Point</w:t>
            </w:r>
            <w:r w:rsidRPr="00F15F46">
              <w:rPr>
                <w:rFonts w:asciiTheme="minorHAnsi" w:hAnsiTheme="minorHAnsi" w:cstheme="minorHAnsi"/>
                <w:color w:val="F5844C"/>
                <w:sz w:val="18"/>
                <w:szCs w:val="18"/>
                <w:highlight w:val="white"/>
                <w:lang w:val="de-DE"/>
              </w:rPr>
              <w:t xml:space="preserve"> gml:id</w:t>
            </w:r>
            <w:r w:rsidRPr="00F15F46">
              <w:rPr>
                <w:rFonts w:asciiTheme="minorHAnsi" w:hAnsiTheme="minorHAnsi" w:cstheme="minorHAnsi"/>
                <w:color w:val="FF8040"/>
                <w:sz w:val="18"/>
                <w:szCs w:val="18"/>
                <w:highlight w:val="white"/>
                <w:lang w:val="de-DE"/>
              </w:rPr>
              <w:t>=</w:t>
            </w:r>
            <w:r w:rsidRPr="00F15F46">
              <w:rPr>
                <w:rFonts w:asciiTheme="minorHAnsi" w:hAnsiTheme="minorHAnsi" w:cstheme="minorHAnsi"/>
                <w:color w:val="993300"/>
                <w:sz w:val="18"/>
                <w:szCs w:val="18"/>
                <w:highlight w:val="white"/>
                <w:lang w:val="de-DE"/>
              </w:rPr>
              <w:t>"pnt1"</w:t>
            </w:r>
            <w:r w:rsidRPr="00F15F46">
              <w:rPr>
                <w:rFonts w:asciiTheme="minorHAnsi" w:hAnsiTheme="minorHAnsi" w:cstheme="minorHAnsi"/>
                <w:color w:val="000096"/>
                <w:sz w:val="18"/>
                <w:szCs w:val="18"/>
                <w:highlight w:val="white"/>
                <w:lang w:val="de-DE"/>
              </w:rPr>
              <w:t>&gt;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&lt;gml:pos&gt;</w:t>
            </w:r>
            <w:r w:rsidRPr="00F15F46">
              <w:rPr>
                <w:rFonts w:asciiTheme="minorHAnsi" w:hAnsiTheme="minorHAnsi" w:cstheme="minorHAnsi"/>
                <w:color w:val="000000"/>
                <w:sz w:val="18"/>
                <w:szCs w:val="18"/>
                <w:highlight w:val="white"/>
                <w:lang w:val="de-DE"/>
              </w:rPr>
              <w:t>53.731420 7.397681</w:t>
            </w:r>
            <w:r w:rsidRPr="00F15F46">
              <w:rPr>
                <w:rFonts w:asciiTheme="minorHAnsi" w:hAnsiTheme="minorHAnsi" w:cstheme="minorHAnsi"/>
                <w:color w:val="000096"/>
                <w:sz w:val="18"/>
                <w:szCs w:val="18"/>
                <w:highlight w:val="white"/>
                <w:lang w:val="de-DE"/>
              </w:rPr>
              <w:t>&lt;/gml:pos&gt;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&lt;/S100:Point&gt;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&lt;/S100:pointProperty&gt;&lt;/geometry&gt;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&lt;warningHazardType&gt;</w:t>
            </w:r>
            <w:r w:rsidRPr="00F15F46">
              <w:rPr>
                <w:rFonts w:asciiTheme="minorHAnsi" w:hAnsiTheme="minorHAnsi" w:cstheme="minorHAnsi"/>
                <w:color w:val="000000"/>
                <w:sz w:val="18"/>
                <w:szCs w:val="18"/>
                <w:highlight w:val="white"/>
                <w:lang w:val="de-DE"/>
              </w:rPr>
              <w:t>uncharted rock</w:t>
            </w:r>
            <w:r w:rsidRPr="00F15F46">
              <w:rPr>
                <w:rFonts w:asciiTheme="minorHAnsi" w:hAnsiTheme="minorHAnsi" w:cstheme="minorHAnsi"/>
                <w:color w:val="000096"/>
                <w:sz w:val="18"/>
                <w:szCs w:val="18"/>
                <w:highlight w:val="white"/>
                <w:lang w:val="de-DE"/>
              </w:rPr>
              <w:t>&lt;/warningHazardType&gt;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&lt;warningInformation&gt;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&lt;headline&gt;</w:t>
            </w:r>
            <w:r w:rsidRPr="00F15F46">
              <w:rPr>
                <w:rFonts w:asciiTheme="minorHAnsi" w:hAnsiTheme="minorHAnsi" w:cstheme="minorHAnsi"/>
                <w:color w:val="000000"/>
                <w:sz w:val="18"/>
                <w:szCs w:val="18"/>
                <w:highlight w:val="white"/>
                <w:lang w:val="de-DE"/>
              </w:rPr>
              <w:t>Uncharted Rock</w:t>
            </w:r>
            <w:r w:rsidRPr="00F15F46">
              <w:rPr>
                <w:rFonts w:asciiTheme="minorHAnsi" w:hAnsiTheme="minorHAnsi" w:cstheme="minorHAnsi"/>
                <w:color w:val="000096"/>
                <w:sz w:val="18"/>
                <w:szCs w:val="18"/>
                <w:highlight w:val="white"/>
                <w:lang w:val="de-DE"/>
              </w:rPr>
              <w:t>&lt;/headline&gt;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&lt;text&gt;</w:t>
            </w:r>
            <w:r w:rsidRPr="00F15F46">
              <w:rPr>
                <w:rFonts w:asciiTheme="minorHAnsi" w:hAnsiTheme="minorHAnsi" w:cstheme="minorHAnsi"/>
                <w:color w:val="000000"/>
                <w:sz w:val="18"/>
                <w:szCs w:val="18"/>
                <w:highlight w:val="white"/>
                <w:lang w:val="de-DE"/>
              </w:rPr>
              <w:t>An uncharted rock was discovered between Langeoog and Norderney islands...</w:t>
            </w:r>
            <w:r w:rsidRPr="00F15F46">
              <w:rPr>
                <w:rFonts w:asciiTheme="minorHAnsi" w:hAnsiTheme="minorHAnsi" w:cstheme="minorHAnsi"/>
                <w:color w:val="000096"/>
                <w:sz w:val="18"/>
                <w:szCs w:val="18"/>
                <w:highlight w:val="white"/>
                <w:lang w:val="de-DE"/>
              </w:rPr>
              <w:t>&lt;/text&gt;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&lt;/warningInformation&gt;</w:t>
            </w:r>
            <w:r w:rsidRPr="00F15F46">
              <w:rPr>
                <w:rFonts w:asciiTheme="minorHAnsi" w:hAnsiTheme="minorHAnsi" w:cstheme="minorHAnsi"/>
                <w:color w:val="000000"/>
                <w:sz w:val="18"/>
                <w:szCs w:val="18"/>
                <w:highlight w:val="white"/>
                <w:lang w:val="de-DE"/>
              </w:rPr>
              <w:t xml:space="preserve">  </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&lt;header/&gt;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&lt;/S124:NavigationalWarningFeaturePart&gt;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&lt;/S124:DataSet&gt;</w:t>
            </w:r>
            <w:r w:rsidRPr="00F15F46">
              <w:rPr>
                <w:rFonts w:asciiTheme="minorHAnsi" w:hAnsiTheme="minorHAnsi" w:cstheme="minorHAnsi"/>
                <w:color w:val="000000"/>
                <w:sz w:val="18"/>
                <w:szCs w:val="18"/>
                <w:highlight w:val="white"/>
                <w:lang w:val="de-DE"/>
              </w:rPr>
              <w:br/>
              <w:t xml:space="preserve">  </w:t>
            </w:r>
            <w:r w:rsidRPr="00F15F46">
              <w:rPr>
                <w:rFonts w:asciiTheme="minorHAnsi" w:hAnsiTheme="minorHAnsi" w:cstheme="minorHAnsi"/>
                <w:color w:val="000096"/>
                <w:sz w:val="18"/>
                <w:szCs w:val="18"/>
                <w:highlight w:val="white"/>
                <w:lang w:val="de-DE"/>
              </w:rPr>
              <w:t>&lt;/composedOf&gt;</w:t>
            </w:r>
            <w:r w:rsidRPr="00F15F46">
              <w:rPr>
                <w:rFonts w:asciiTheme="minorHAnsi" w:hAnsiTheme="minorHAnsi" w:cstheme="minorHAnsi"/>
                <w:color w:val="000000"/>
                <w:sz w:val="18"/>
                <w:szCs w:val="18"/>
                <w:highlight w:val="white"/>
                <w:lang w:val="de-DE"/>
              </w:rPr>
              <w:br/>
            </w:r>
            <w:r w:rsidRPr="00F15F46">
              <w:rPr>
                <w:rFonts w:asciiTheme="minorHAnsi" w:hAnsiTheme="minorHAnsi" w:cstheme="minorHAnsi"/>
                <w:color w:val="000096"/>
                <w:sz w:val="18"/>
                <w:szCs w:val="18"/>
                <w:highlight w:val="white"/>
                <w:lang w:val="de-DE"/>
              </w:rPr>
              <w:t>&lt;/Streamable_ExchangeSet&gt;</w:t>
            </w:r>
          </w:p>
        </w:tc>
      </w:tr>
    </w:tbl>
    <w:p w14:paraId="12F425A9" w14:textId="046735AD" w:rsidR="00E41AA6" w:rsidRDefault="00E41AA6" w:rsidP="00E41AA6">
      <w:pPr>
        <w:pStyle w:val="Caption"/>
        <w:jc w:val="center"/>
      </w:pPr>
      <w:bookmarkStart w:id="13" w:name="_Ref17286224"/>
      <w:r>
        <w:lastRenderedPageBreak/>
        <w:t xml:space="preserve">Figure </w:t>
      </w:r>
      <w:r>
        <w:fldChar w:fldCharType="begin"/>
      </w:r>
      <w:r>
        <w:instrText xml:space="preserve"> SEQ Figure \* ARABIC </w:instrText>
      </w:r>
      <w:r>
        <w:fldChar w:fldCharType="separate"/>
      </w:r>
      <w:r w:rsidR="000673CB">
        <w:rPr>
          <w:noProof/>
        </w:rPr>
        <w:t>13</w:t>
      </w:r>
      <w:r>
        <w:fldChar w:fldCharType="end"/>
      </w:r>
      <w:bookmarkEnd w:id="13"/>
      <w:r>
        <w:t xml:space="preserve">: S-100 </w:t>
      </w:r>
      <w:proofErr w:type="spellStart"/>
      <w:r>
        <w:t>gml</w:t>
      </w:r>
      <w:proofErr w:type="spellEnd"/>
      <w:r>
        <w:t xml:space="preserve"> answer to the request shown in </w:t>
      </w:r>
      <w:r>
        <w:fldChar w:fldCharType="begin"/>
      </w:r>
      <w:r>
        <w:instrText xml:space="preserve"> REF _Ref17286085 \h  \* MERGEFORMAT </w:instrText>
      </w:r>
      <w:r>
        <w:fldChar w:fldCharType="separate"/>
      </w:r>
      <w:r w:rsidR="000673CB">
        <w:t xml:space="preserve">Figure </w:t>
      </w:r>
      <w:r w:rsidR="000673CB">
        <w:rPr>
          <w:noProof/>
        </w:rPr>
        <w:t>12</w:t>
      </w:r>
      <w:r>
        <w:fldChar w:fldCharType="end"/>
      </w:r>
      <w:r>
        <w:t>.</w:t>
      </w:r>
    </w:p>
    <w:p w14:paraId="3B556FEE" w14:textId="6176EE29" w:rsidR="00E41AA6" w:rsidRDefault="00E41AA6" w:rsidP="00285313">
      <w:pPr>
        <w:pStyle w:val="BodyText"/>
      </w:pPr>
    </w:p>
    <w:p w14:paraId="57B3C564" w14:textId="3A86EAF7" w:rsidR="00E41AA6" w:rsidRDefault="00514ABB" w:rsidP="00285313">
      <w:pPr>
        <w:pStyle w:val="Heading1"/>
      </w:pPr>
      <w:bookmarkStart w:id="14" w:name="_Ref18575864"/>
      <w:r>
        <w:t>Using Maritime Messaging Service of the Maritime Connectivity Platform</w:t>
      </w:r>
      <w:bookmarkEnd w:id="14"/>
    </w:p>
    <w:p w14:paraId="46C1335E" w14:textId="77777777" w:rsidR="00514ABB" w:rsidRDefault="00514ABB" w:rsidP="00514ABB">
      <w:pPr>
        <w:pStyle w:val="BodyText"/>
      </w:pPr>
      <w:r>
        <w:t>Just for informative purpose it mentioned within this document that the concept of the maritime connectivity platform has a very powerful service to support the distribution of MSI: The Maritime Messaging Service MMS.</w:t>
      </w:r>
    </w:p>
    <w:p w14:paraId="26A8758E" w14:textId="77777777" w:rsidR="00E41AA6" w:rsidRDefault="00E41AA6" w:rsidP="00285313">
      <w:pPr>
        <w:pStyle w:val="BodyText"/>
      </w:pPr>
      <w:r>
        <w:lastRenderedPageBreak/>
        <w:t xml:space="preserve">The Maritime Messaging Service (MMS) is an information broker for exchanging messages via different communication channels in a maritime environment. It provides an abstraction Layer from low-level communication technologies and is – as it uses a HTTP Interface – based on IP-technology. The MMS uses MRNs to identify and authorize consumers and service providers. It acts as a middleware between the consumers and services and supports features like group- or </w:t>
      </w:r>
      <w:proofErr w:type="spellStart"/>
      <w:r>
        <w:t>geocasting</w:t>
      </w:r>
      <w:proofErr w:type="spellEnd"/>
      <w:r>
        <w:t xml:space="preserve"> of messages. Furthermore, the use of MRNs and the architecture of the MMS solve the problem of switching between different communication technologies and allow a continuous communication.  </w:t>
      </w:r>
    </w:p>
    <w:p w14:paraId="27B29577" w14:textId="77777777" w:rsidR="00E41AA6" w:rsidRDefault="00E41AA6" w:rsidP="00285313">
      <w:pPr>
        <w:pStyle w:val="BodyText"/>
      </w:pPr>
      <w:r>
        <w:t xml:space="preserve">To use the MMS as a service provider, an MRN for the service is required. The service must register its MRN in the Maritime Identity Registry (MIR) which is also a part of the MCP. The registration of the service’s MRN in the MIR is required later to authorize messages from the service. The consumer, which is typically a vessel, also must use a registered MRN to communicate with the service via the MMS. In application, messages are then transmitted via HTTP with custom headers containing the MRN of the message source and destination. A consumer can obtain the MRN of a Service via the Maritime Service Registry (MSR) of the MCP. </w:t>
      </w:r>
    </w:p>
    <w:p w14:paraId="091CB7A6" w14:textId="6475B10F" w:rsidR="00E41AA6" w:rsidRDefault="00E41AA6" w:rsidP="00285313">
      <w:pPr>
        <w:pStyle w:val="BodyText"/>
      </w:pPr>
      <w:r>
        <w:t xml:space="preserve">The MCP offers a suitable basic architecture to deploy the S-124 </w:t>
      </w:r>
      <w:proofErr w:type="spellStart"/>
      <w:r>
        <w:t>WebService</w:t>
      </w:r>
      <w:proofErr w:type="spellEnd"/>
      <w:r>
        <w:t xml:space="preserve">, constructed in section </w:t>
      </w:r>
      <w:r>
        <w:fldChar w:fldCharType="begin"/>
      </w:r>
      <w:r>
        <w:instrText xml:space="preserve"> REF _Ref16792989 \r \h </w:instrText>
      </w:r>
      <w:r>
        <w:fldChar w:fldCharType="separate"/>
      </w:r>
      <w:r w:rsidR="000673CB">
        <w:t>5.3</w:t>
      </w:r>
      <w:r>
        <w:fldChar w:fldCharType="end"/>
      </w:r>
      <w:r>
        <w:t xml:space="preserve">. However, some changes need to be made to the service itself to comply with the requirements of an MMS supporting service.  </w:t>
      </w:r>
    </w:p>
    <w:p w14:paraId="6CD45CA6" w14:textId="76B70623" w:rsidR="00E41AA6" w:rsidRDefault="00E41AA6" w:rsidP="00285313">
      <w:pPr>
        <w:pStyle w:val="BodyText"/>
      </w:pPr>
      <w:r>
        <w:t xml:space="preserve">As a first step, the navigational warning service needs an interface to understand the MMS-HTTP requests, that are generated by the MMS broker. </w:t>
      </w:r>
      <w:r>
        <w:fldChar w:fldCharType="begin"/>
      </w:r>
      <w:r>
        <w:instrText xml:space="preserve"> REF _Ref16793555 \h </w:instrText>
      </w:r>
      <w:r>
        <w:fldChar w:fldCharType="separate"/>
      </w:r>
      <w:r w:rsidR="000673CB">
        <w:t xml:space="preserve">Figure </w:t>
      </w:r>
      <w:r w:rsidR="000673CB">
        <w:rPr>
          <w:noProof/>
        </w:rPr>
        <w:t>14</w:t>
      </w:r>
      <w:r>
        <w:fldChar w:fldCharType="end"/>
      </w:r>
      <w:r>
        <w:t xml:space="preserve"> shows the message layout of a message that is sent via the MMS. </w:t>
      </w:r>
    </w:p>
    <w:p w14:paraId="29F339DA" w14:textId="77777777" w:rsidR="00E41AA6" w:rsidRDefault="00E41AA6" w:rsidP="00F15F46">
      <w:pPr>
        <w:pStyle w:val="BodyText"/>
        <w:jc w:val="center"/>
      </w:pPr>
      <w:r>
        <w:rPr>
          <w:noProof/>
          <w:lang w:val="en-US" w:eastAsia="en-US"/>
        </w:rPr>
        <w:drawing>
          <wp:inline distT="0" distB="0" distL="0" distR="0" wp14:anchorId="79B8F15F" wp14:editId="4710D16E">
            <wp:extent cx="3654069" cy="1956027"/>
            <wp:effectExtent l="0" t="0" r="3810" b="6350"/>
            <wp:docPr id="11" name="Grafik 11"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hrome_2019-08-15_20-28-48.png"/>
                    <pic:cNvPicPr/>
                  </pic:nvPicPr>
                  <pic:blipFill>
                    <a:blip r:embed="rId19"/>
                    <a:stretch>
                      <a:fillRect/>
                    </a:stretch>
                  </pic:blipFill>
                  <pic:spPr>
                    <a:xfrm>
                      <a:off x="0" y="0"/>
                      <a:ext cx="3661752" cy="1960139"/>
                    </a:xfrm>
                    <a:prstGeom prst="rect">
                      <a:avLst/>
                    </a:prstGeom>
                  </pic:spPr>
                </pic:pic>
              </a:graphicData>
            </a:graphic>
          </wp:inline>
        </w:drawing>
      </w:r>
    </w:p>
    <w:p w14:paraId="72FF293F" w14:textId="191E473D" w:rsidR="00E41AA6" w:rsidRDefault="00E41AA6" w:rsidP="00E41AA6">
      <w:pPr>
        <w:pStyle w:val="Caption"/>
        <w:jc w:val="center"/>
      </w:pPr>
      <w:bookmarkStart w:id="15" w:name="_Ref16793555"/>
      <w:r>
        <w:t xml:space="preserve">Figure </w:t>
      </w:r>
      <w:r>
        <w:fldChar w:fldCharType="begin"/>
      </w:r>
      <w:r>
        <w:instrText xml:space="preserve"> SEQ Figure \* ARABIC </w:instrText>
      </w:r>
      <w:r>
        <w:fldChar w:fldCharType="separate"/>
      </w:r>
      <w:r w:rsidR="000673CB">
        <w:rPr>
          <w:noProof/>
        </w:rPr>
        <w:t>14</w:t>
      </w:r>
      <w:r>
        <w:rPr>
          <w:noProof/>
        </w:rPr>
        <w:fldChar w:fldCharType="end"/>
      </w:r>
      <w:bookmarkEnd w:id="15"/>
      <w:r>
        <w:t xml:space="preserve">: Layout of an MMS-Message. </w:t>
      </w:r>
      <w:r>
        <w:fldChar w:fldCharType="begin"/>
      </w:r>
      <w:r w:rsidR="00684298">
        <w:instrText xml:space="preserve"> ADDIN ZOTERO_ITEM CSL_CITATION {"citationID":"iMI1VU0R","properties":{"formattedCitation":"[13]","plainCitation":"[13]","noteIndex":0},"citationItems":[{"id":260,"uris":["http://zotero.org/users/5690609/items/5E4JFDZZ"],"uri":["http://zotero.org/users/5690609/items/5E4JFDZZ"],"itemData":{"id":260,"type":"article","title":"MMS: Concepts, Design and Usages","URL":"https://maritimeconnectivity.net/docs/MMS_Specification_0.8.3.pdf","author":[{"family":"Maritime Connectivity Platform","given":""}],"accessed":{"date-parts":[["2019",8,15]]}}}],"schema":"https://github.com/citation-style-language/schema/raw/master/csl-citation.json"} </w:instrText>
      </w:r>
      <w:r>
        <w:fldChar w:fldCharType="separate"/>
      </w:r>
      <w:r w:rsidR="00684298" w:rsidRPr="00684298">
        <w:t>[13]</w:t>
      </w:r>
      <w:r>
        <w:fldChar w:fldCharType="end"/>
      </w:r>
    </w:p>
    <w:p w14:paraId="41DE59E9" w14:textId="76DF554B" w:rsidR="00E41AA6" w:rsidRDefault="00E41AA6" w:rsidP="00285313">
      <w:pPr>
        <w:pStyle w:val="BodyText"/>
      </w:pPr>
      <w:r>
        <w:t xml:space="preserve">As every message is directly addressed to its receiver, the Webservice only needs a single interface that receives the messages addressed to its MRN. Additionally, the service needs to send MMS-HTTP requests to the MMS broker, to answer a consumer’s request. Since the service only has one MRN, the selection of the operation required by the client needs to be wrapped into the message payload. We propose a simple json-like structure with the attributes: “operation”, “type” and “content” that refer to the corresponding attributes of the S-100 service model. A basic message exchange with the wrapped operations is shown in </w:t>
      </w:r>
      <w:r>
        <w:fldChar w:fldCharType="begin"/>
      </w:r>
      <w:r>
        <w:instrText xml:space="preserve"> REF _Ref16797211 \h </w:instrText>
      </w:r>
      <w:r>
        <w:fldChar w:fldCharType="separate"/>
      </w:r>
      <w:r w:rsidR="000673CB">
        <w:t xml:space="preserve">Figure </w:t>
      </w:r>
      <w:r w:rsidR="000673CB">
        <w:rPr>
          <w:noProof/>
        </w:rPr>
        <w:t>15</w:t>
      </w:r>
      <w:r>
        <w:fldChar w:fldCharType="end"/>
      </w:r>
      <w:r>
        <w:t>.</w:t>
      </w:r>
    </w:p>
    <w:p w14:paraId="0A2C1B96" w14:textId="77777777" w:rsidR="00E41AA6" w:rsidRDefault="00E41AA6" w:rsidP="00285313">
      <w:pPr>
        <w:pStyle w:val="BodyText"/>
      </w:pPr>
      <w:r>
        <w:rPr>
          <w:noProof/>
          <w:lang w:val="en-US" w:eastAsia="en-US"/>
        </w:rPr>
        <w:lastRenderedPageBreak/>
        <w:drawing>
          <wp:inline distT="0" distB="0" distL="0" distR="0" wp14:anchorId="6B3F55FB" wp14:editId="77D26309">
            <wp:extent cx="5486400" cy="3086100"/>
            <wp:effectExtent l="0" t="0" r="0" b="0"/>
            <wp:docPr id="12" name="Grafik 12" descr="Ein Bild, das Text,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MS_wrapping.png"/>
                    <pic:cNvPicPr/>
                  </pic:nvPicPr>
                  <pic:blipFill>
                    <a:blip r:embed="rId20"/>
                    <a:stretch>
                      <a:fillRect/>
                    </a:stretch>
                  </pic:blipFill>
                  <pic:spPr>
                    <a:xfrm>
                      <a:off x="0" y="0"/>
                      <a:ext cx="5486400" cy="3086100"/>
                    </a:xfrm>
                    <a:prstGeom prst="rect">
                      <a:avLst/>
                    </a:prstGeom>
                  </pic:spPr>
                </pic:pic>
              </a:graphicData>
            </a:graphic>
          </wp:inline>
        </w:drawing>
      </w:r>
    </w:p>
    <w:p w14:paraId="592AF819" w14:textId="3C99604C" w:rsidR="00E41AA6" w:rsidRDefault="00E41AA6" w:rsidP="00E41AA6">
      <w:pPr>
        <w:pStyle w:val="Caption"/>
        <w:jc w:val="center"/>
      </w:pPr>
      <w:bookmarkStart w:id="16" w:name="_Ref16797211"/>
      <w:r>
        <w:t xml:space="preserve">Figure </w:t>
      </w:r>
      <w:r>
        <w:fldChar w:fldCharType="begin"/>
      </w:r>
      <w:r>
        <w:instrText xml:space="preserve"> SEQ Figure \* ARABIC </w:instrText>
      </w:r>
      <w:r>
        <w:fldChar w:fldCharType="separate"/>
      </w:r>
      <w:r w:rsidR="000673CB">
        <w:rPr>
          <w:noProof/>
        </w:rPr>
        <w:t>15</w:t>
      </w:r>
      <w:r>
        <w:rPr>
          <w:noProof/>
        </w:rPr>
        <w:fldChar w:fldCharType="end"/>
      </w:r>
      <w:bookmarkEnd w:id="16"/>
      <w:r>
        <w:t>: Simple exchange of messages using the MMS with a json-wrapper for the operations and types.</w:t>
      </w:r>
    </w:p>
    <w:p w14:paraId="607CB02C" w14:textId="3A7C8F9A" w:rsidR="00E41AA6" w:rsidRDefault="00E41AA6" w:rsidP="00285313">
      <w:pPr>
        <w:pStyle w:val="BodyText"/>
      </w:pPr>
      <w:r>
        <w:t xml:space="preserve">This usage of the MMS results in some changes that must be made to the instance of the S-100 model proposed in section </w:t>
      </w:r>
      <w:r>
        <w:fldChar w:fldCharType="begin"/>
      </w:r>
      <w:r>
        <w:instrText xml:space="preserve"> REF _Ref16792989 \r \h  \* MERGEFORMAT </w:instrText>
      </w:r>
      <w:r>
        <w:fldChar w:fldCharType="separate"/>
      </w:r>
      <w:r w:rsidR="000673CB">
        <w:t>5.3</w:t>
      </w:r>
      <w:r>
        <w:fldChar w:fldCharType="end"/>
      </w:r>
      <w:r>
        <w:t xml:space="preserve">: As the consumers can now be identified by their MRN, which is known to the service, the session operations are not mandatory anymore. However, these commands can be kept for keeping track of consumers interests to receive navigational warnings (ending the session may indicate that the consumer no longer wants to receive navigational warnings). Then, the </w:t>
      </w:r>
      <w:proofErr w:type="spellStart"/>
      <w:r>
        <w:t>GetMetadata</w:t>
      </w:r>
      <w:proofErr w:type="spellEnd"/>
      <w:r>
        <w:t xml:space="preserve"> and </w:t>
      </w:r>
      <w:proofErr w:type="spellStart"/>
      <w:r>
        <w:t>Get_NW_Messages</w:t>
      </w:r>
      <w:proofErr w:type="spellEnd"/>
      <w:r>
        <w:t xml:space="preserve"> operations can remain as they are. If receiving requests with one of these operations, the server reads the </w:t>
      </w:r>
      <w:proofErr w:type="spellStart"/>
      <w:r>
        <w:t>srcMRN</w:t>
      </w:r>
      <w:proofErr w:type="spellEnd"/>
      <w:r>
        <w:t xml:space="preserve"> header of the message and creates a “Response”-type MMS-Message, with the former </w:t>
      </w:r>
      <w:proofErr w:type="spellStart"/>
      <w:r>
        <w:t>srcMRN</w:t>
      </w:r>
      <w:proofErr w:type="spellEnd"/>
      <w:r>
        <w:t xml:space="preserve"> as destination and the S-1</w:t>
      </w:r>
      <w:r w:rsidR="000F52C7">
        <w:t>24</w:t>
      </w:r>
      <w:r>
        <w:t xml:space="preserve"> datasets in the “Content” field.</w:t>
      </w:r>
    </w:p>
    <w:p w14:paraId="579DDE16" w14:textId="50CE8BA0" w:rsidR="00094391" w:rsidRPr="00094391" w:rsidRDefault="00094391" w:rsidP="00285313">
      <w:pPr>
        <w:pStyle w:val="BodyText"/>
        <w:rPr>
          <w:lang w:val="en-US"/>
        </w:rPr>
      </w:pPr>
      <w:r w:rsidRPr="009C6C9E">
        <w:rPr>
          <w:rFonts w:hint="eastAsia"/>
          <w:highlight w:val="yellow"/>
          <w:lang w:eastAsia="ko-KR"/>
        </w:rPr>
        <w:t>I</w:t>
      </w:r>
      <w:r w:rsidRPr="009C6C9E">
        <w:rPr>
          <w:highlight w:val="yellow"/>
          <w:lang w:eastAsia="ko-KR"/>
        </w:rPr>
        <w:t>f the MMS is within the trust boundary of the client, the MMS could be used as a push-service gateway which enables the client to receive messages right after they arrive. This is very important feature for MSI service. When the MMS is trusted by service providers, the MMS could be used as service-call proxy. Endpoint URLs of service providers do not need to be exposed to client leading to better security. Furthermore, use of the MMS proxy makes MSI service more technology-agnostic.</w:t>
      </w:r>
    </w:p>
    <w:p w14:paraId="2A7F60B3" w14:textId="0EF0A564" w:rsidR="00E41AA6" w:rsidRDefault="00E41AA6" w:rsidP="00285313">
      <w:pPr>
        <w:pStyle w:val="BodyText"/>
      </w:pPr>
      <w:r>
        <w:t xml:space="preserve">Since the MMS supports </w:t>
      </w:r>
      <w:proofErr w:type="spellStart"/>
      <w:r>
        <w:t>geocasting</w:t>
      </w:r>
      <w:proofErr w:type="spellEnd"/>
      <w:r>
        <w:t xml:space="preserve">, the </w:t>
      </w:r>
      <w:proofErr w:type="spellStart"/>
      <w:r>
        <w:t>Subscribe_NW_Messages</w:t>
      </w:r>
      <w:proofErr w:type="spellEnd"/>
      <w:r>
        <w:t xml:space="preserve"> can be replaced by a </w:t>
      </w:r>
      <w:proofErr w:type="spellStart"/>
      <w:r>
        <w:t>Broadcast_NW_Message</w:t>
      </w:r>
      <w:proofErr w:type="spellEnd"/>
      <w:r>
        <w:t xml:space="preserve"> operation. Whenever a new S-124 dataset is available to the service, it generates a </w:t>
      </w:r>
      <w:proofErr w:type="spellStart"/>
      <w:r>
        <w:t>geocast</w:t>
      </w:r>
      <w:proofErr w:type="spellEnd"/>
      <w:r>
        <w:t xml:space="preserve"> MMS-Message, with special HTTP-Headers that specify the geographical area of the warning and sends it to the MMS-Broker.  The MMS-Broker knows the positions of the registered clients and casts the message to each of them. More on </w:t>
      </w:r>
      <w:proofErr w:type="spellStart"/>
      <w:r>
        <w:t>geocasting</w:t>
      </w:r>
      <w:proofErr w:type="spellEnd"/>
      <w:r>
        <w:t xml:space="preserve"> with the MMS can be found in the h</w:t>
      </w:r>
      <w:r w:rsidRPr="00445F5D">
        <w:t>igh-level description</w:t>
      </w:r>
      <w:r>
        <w:t xml:space="preserve"> document</w:t>
      </w:r>
      <w:r w:rsidRPr="00445F5D">
        <w:t xml:space="preserve"> of the Maritime Messaging Service</w:t>
      </w:r>
      <w:r>
        <w:rPr>
          <w:rStyle w:val="FootnoteReference"/>
        </w:rPr>
        <w:footnoteReference w:id="3"/>
      </w:r>
      <w:r>
        <w:t xml:space="preserve">. </w:t>
      </w:r>
      <w:r>
        <w:fldChar w:fldCharType="begin"/>
      </w:r>
      <w:r w:rsidR="00684298">
        <w:instrText xml:space="preserve"> ADDIN ZOTERO_ITEM CSL_CITATION {"citationID":"dTJhc2p9","properties":{"formattedCitation":"[13]","plainCitation":"[13]","noteIndex":0},"citationItems":[{"id":260,"uris":["http://zotero.org/users/5690609/items/5E4JFDZZ"],"uri":["http://zotero.org/users/5690609/items/5E4JFDZZ"],"itemData":{"id":260,"type":"article","title":"MMS: Concepts, Design and Usages","URL":"https://maritimeconnectivity.net/docs/MMS_Specification_0.8.3.pdf","author":[{"family":"Maritime Connectivity Platform","given":""}],"accessed":{"date-parts":[["2019",8,15]]}}}],"schema":"https://github.com/citation-style-language/schema/raw/master/csl-citation.json"} </w:instrText>
      </w:r>
      <w:r>
        <w:fldChar w:fldCharType="separate"/>
      </w:r>
      <w:r w:rsidR="00684298" w:rsidRPr="00684298">
        <w:t>[13]</w:t>
      </w:r>
      <w:r>
        <w:fldChar w:fldCharType="end"/>
      </w:r>
    </w:p>
    <w:p w14:paraId="23AB360F" w14:textId="7A8365A1" w:rsidR="00514ABB" w:rsidRDefault="00CA4651" w:rsidP="00514ABB">
      <w:pPr>
        <w:pStyle w:val="Heading1"/>
      </w:pPr>
      <w:r>
        <w:t>SERVICE SPECIFICATION</w:t>
      </w:r>
      <w:r w:rsidR="00514ABB">
        <w:t xml:space="preserve"> of the Technical Service</w:t>
      </w:r>
    </w:p>
    <w:p w14:paraId="6E93C903" w14:textId="577AB74E" w:rsidR="00514ABB" w:rsidRDefault="00514ABB" w:rsidP="00514ABB">
      <w:pPr>
        <w:pStyle w:val="BodyText"/>
        <w:rPr>
          <w:lang w:eastAsia="de-DE"/>
        </w:rPr>
      </w:pPr>
      <w:r>
        <w:rPr>
          <w:lang w:eastAsia="de-DE"/>
        </w:rPr>
        <w:t>The MSI technical service is specified in the following form according to G-1128</w:t>
      </w:r>
      <w:r w:rsidR="00F15F46">
        <w:rPr>
          <w:lang w:eastAsia="de-DE"/>
        </w:rPr>
        <w:t>.</w:t>
      </w:r>
    </w:p>
    <w:p w14:paraId="19D70D92" w14:textId="7DCAC0A6" w:rsidR="00F15F46" w:rsidRDefault="00F15F46" w:rsidP="00F15F46">
      <w:pPr>
        <w:pStyle w:val="Heading2"/>
        <w:rPr>
          <w:lang w:eastAsia="de-DE"/>
        </w:rPr>
      </w:pPr>
      <w:r>
        <w:rPr>
          <w:lang w:eastAsia="de-DE"/>
        </w:rPr>
        <w:t>SERVICE IDENTIFICATION</w:t>
      </w:r>
    </w:p>
    <w:tbl>
      <w:tblPr>
        <w:tblStyle w:val="TableGrid"/>
        <w:tblW w:w="0" w:type="auto"/>
        <w:tblLook w:val="04A0" w:firstRow="1" w:lastRow="0" w:firstColumn="1" w:lastColumn="0" w:noHBand="0" w:noVBand="1"/>
      </w:tblPr>
      <w:tblGrid>
        <w:gridCol w:w="2063"/>
        <w:gridCol w:w="7565"/>
      </w:tblGrid>
      <w:tr w:rsidR="00F15F46" w14:paraId="05C3EC93" w14:textId="77777777" w:rsidTr="00F15F46">
        <w:tc>
          <w:tcPr>
            <w:tcW w:w="2093" w:type="dxa"/>
          </w:tcPr>
          <w:p w14:paraId="4061DFB2" w14:textId="36617F00" w:rsidR="00F15F46" w:rsidRDefault="00F15F46" w:rsidP="00F15F46">
            <w:pPr>
              <w:pStyle w:val="BodyText"/>
              <w:rPr>
                <w:lang w:eastAsia="de-DE"/>
              </w:rPr>
            </w:pPr>
            <w:r>
              <w:rPr>
                <w:lang w:eastAsia="de-DE"/>
              </w:rPr>
              <w:t>Name</w:t>
            </w:r>
          </w:p>
        </w:tc>
        <w:tc>
          <w:tcPr>
            <w:tcW w:w="7685" w:type="dxa"/>
          </w:tcPr>
          <w:p w14:paraId="05CF88E8" w14:textId="6A6F56E7" w:rsidR="00F15F46" w:rsidRDefault="00F15F46" w:rsidP="00F15F46">
            <w:pPr>
              <w:pStyle w:val="BodyText"/>
              <w:rPr>
                <w:lang w:eastAsia="de-DE"/>
              </w:rPr>
            </w:pPr>
            <w:r>
              <w:rPr>
                <w:lang w:eastAsia="de-DE"/>
              </w:rPr>
              <w:t>Navigational Warning Service</w:t>
            </w:r>
          </w:p>
        </w:tc>
      </w:tr>
      <w:tr w:rsidR="00F15F46" w14:paraId="32AFBD10" w14:textId="77777777" w:rsidTr="00F15F46">
        <w:tc>
          <w:tcPr>
            <w:tcW w:w="2093" w:type="dxa"/>
          </w:tcPr>
          <w:p w14:paraId="48577109" w14:textId="421BFB48" w:rsidR="00F15F46" w:rsidRDefault="00F15F46" w:rsidP="00F15F46">
            <w:pPr>
              <w:pStyle w:val="BodyText"/>
              <w:rPr>
                <w:lang w:eastAsia="de-DE"/>
              </w:rPr>
            </w:pPr>
            <w:r>
              <w:rPr>
                <w:lang w:eastAsia="de-DE"/>
              </w:rPr>
              <w:t>ID</w:t>
            </w:r>
          </w:p>
        </w:tc>
        <w:tc>
          <w:tcPr>
            <w:tcW w:w="7685" w:type="dxa"/>
          </w:tcPr>
          <w:p w14:paraId="5D98317F" w14:textId="7B7E1FB3" w:rsidR="00F15F46" w:rsidRDefault="00CE5360" w:rsidP="00F15F46">
            <w:pPr>
              <w:pStyle w:val="BodyText"/>
              <w:rPr>
                <w:lang w:eastAsia="de-DE"/>
              </w:rPr>
            </w:pPr>
            <w:proofErr w:type="gramStart"/>
            <w:r w:rsidRPr="00CE5360">
              <w:rPr>
                <w:color w:val="A6A6A6" w:themeColor="background1" w:themeShade="A6"/>
                <w:lang w:eastAsia="de-DE"/>
              </w:rPr>
              <w:t>urn:mrn</w:t>
            </w:r>
            <w:proofErr w:type="gramEnd"/>
            <w:r w:rsidRPr="00CE5360">
              <w:rPr>
                <w:color w:val="A6A6A6" w:themeColor="background1" w:themeShade="A6"/>
                <w:lang w:eastAsia="de-DE"/>
              </w:rPr>
              <w:t xml:space="preserve">:iala:service:specification:msi:1230.1 </w:t>
            </w:r>
            <w:r w:rsidR="00362799">
              <w:rPr>
                <w:lang w:eastAsia="de-DE"/>
              </w:rPr>
              <w:t>(to be assigned)</w:t>
            </w:r>
          </w:p>
        </w:tc>
      </w:tr>
      <w:tr w:rsidR="00F15F46" w14:paraId="7067DC9A" w14:textId="77777777" w:rsidTr="00F15F46">
        <w:tc>
          <w:tcPr>
            <w:tcW w:w="2093" w:type="dxa"/>
          </w:tcPr>
          <w:p w14:paraId="1AF4E62E" w14:textId="1A75BE24" w:rsidR="00F15F46" w:rsidRDefault="00F15F46" w:rsidP="00F15F46">
            <w:pPr>
              <w:pStyle w:val="BodyText"/>
              <w:rPr>
                <w:lang w:eastAsia="de-DE"/>
              </w:rPr>
            </w:pPr>
            <w:r>
              <w:rPr>
                <w:lang w:eastAsia="de-DE"/>
              </w:rPr>
              <w:t>Version</w:t>
            </w:r>
          </w:p>
        </w:tc>
        <w:tc>
          <w:tcPr>
            <w:tcW w:w="7685" w:type="dxa"/>
          </w:tcPr>
          <w:p w14:paraId="402F449C" w14:textId="020D1243" w:rsidR="00F15F46" w:rsidRDefault="00362799" w:rsidP="00F15F46">
            <w:pPr>
              <w:pStyle w:val="BodyText"/>
              <w:rPr>
                <w:lang w:eastAsia="de-DE"/>
              </w:rPr>
            </w:pPr>
            <w:r>
              <w:rPr>
                <w:lang w:eastAsia="de-DE"/>
              </w:rPr>
              <w:t>0.1</w:t>
            </w:r>
          </w:p>
        </w:tc>
      </w:tr>
      <w:tr w:rsidR="00F15F46" w14:paraId="60483B91" w14:textId="77777777" w:rsidTr="00F15F46">
        <w:tc>
          <w:tcPr>
            <w:tcW w:w="2093" w:type="dxa"/>
          </w:tcPr>
          <w:p w14:paraId="5B86E82B" w14:textId="47F20B2F" w:rsidR="00F15F46" w:rsidRDefault="00F15F46" w:rsidP="00F15F46">
            <w:pPr>
              <w:pStyle w:val="BodyText"/>
              <w:rPr>
                <w:lang w:eastAsia="de-DE"/>
              </w:rPr>
            </w:pPr>
            <w:r>
              <w:rPr>
                <w:lang w:eastAsia="de-DE"/>
              </w:rPr>
              <w:lastRenderedPageBreak/>
              <w:t>Description</w:t>
            </w:r>
          </w:p>
        </w:tc>
        <w:tc>
          <w:tcPr>
            <w:tcW w:w="7685" w:type="dxa"/>
          </w:tcPr>
          <w:p w14:paraId="6185ACEF" w14:textId="57553B4A" w:rsidR="00F15F46" w:rsidRDefault="00362799" w:rsidP="00F15F46">
            <w:pPr>
              <w:pStyle w:val="BodyText"/>
              <w:rPr>
                <w:lang w:eastAsia="de-DE"/>
              </w:rPr>
            </w:pPr>
            <w:r>
              <w:rPr>
                <w:lang w:eastAsia="de-DE"/>
              </w:rPr>
              <w:t>This service delivers Maritime Safety Information (MSI) / Navigational Warnings to its consumers.</w:t>
            </w:r>
          </w:p>
        </w:tc>
      </w:tr>
      <w:tr w:rsidR="00F15F46" w14:paraId="0414357F" w14:textId="77777777" w:rsidTr="00F15F46">
        <w:tc>
          <w:tcPr>
            <w:tcW w:w="2093" w:type="dxa"/>
          </w:tcPr>
          <w:p w14:paraId="4E221559" w14:textId="219D51EA" w:rsidR="00F15F46" w:rsidRDefault="00F15F46" w:rsidP="00F15F46">
            <w:pPr>
              <w:pStyle w:val="BodyText"/>
              <w:rPr>
                <w:lang w:eastAsia="de-DE"/>
              </w:rPr>
            </w:pPr>
            <w:r>
              <w:rPr>
                <w:lang w:eastAsia="de-DE"/>
              </w:rPr>
              <w:t>Keywords</w:t>
            </w:r>
          </w:p>
        </w:tc>
        <w:tc>
          <w:tcPr>
            <w:tcW w:w="7685" w:type="dxa"/>
          </w:tcPr>
          <w:p w14:paraId="0C99D1D9" w14:textId="4F0F9B38" w:rsidR="00F15F46" w:rsidRDefault="00362799" w:rsidP="00F15F46">
            <w:pPr>
              <w:pStyle w:val="BodyText"/>
              <w:rPr>
                <w:lang w:eastAsia="de-DE"/>
              </w:rPr>
            </w:pPr>
            <w:r>
              <w:rPr>
                <w:lang w:eastAsia="de-DE"/>
              </w:rPr>
              <w:t>MSI, maritime safety information, navigational warnings, s-124, warnings service</w:t>
            </w:r>
          </w:p>
        </w:tc>
      </w:tr>
      <w:tr w:rsidR="00F15F46" w14:paraId="643859F0" w14:textId="77777777" w:rsidTr="00F15F46">
        <w:tc>
          <w:tcPr>
            <w:tcW w:w="2093" w:type="dxa"/>
          </w:tcPr>
          <w:p w14:paraId="1654FD71" w14:textId="4BBC746C" w:rsidR="00F15F46" w:rsidRDefault="00F15F46" w:rsidP="00F15F46">
            <w:pPr>
              <w:pStyle w:val="BodyText"/>
              <w:rPr>
                <w:lang w:eastAsia="de-DE"/>
              </w:rPr>
            </w:pPr>
            <w:r>
              <w:rPr>
                <w:lang w:eastAsia="de-DE"/>
              </w:rPr>
              <w:t>Architects</w:t>
            </w:r>
          </w:p>
        </w:tc>
        <w:tc>
          <w:tcPr>
            <w:tcW w:w="7685" w:type="dxa"/>
          </w:tcPr>
          <w:p w14:paraId="558B8349" w14:textId="6EC2AA6F" w:rsidR="00F15F46" w:rsidRDefault="00362799" w:rsidP="00F15F46">
            <w:pPr>
              <w:pStyle w:val="BodyText"/>
              <w:rPr>
                <w:lang w:eastAsia="de-DE"/>
              </w:rPr>
            </w:pPr>
            <w:r>
              <w:rPr>
                <w:lang w:eastAsia="de-DE"/>
              </w:rPr>
              <w:t xml:space="preserve">Axel Hahn, </w:t>
            </w:r>
            <w:proofErr w:type="spellStart"/>
            <w:r>
              <w:rPr>
                <w:lang w:eastAsia="de-DE"/>
              </w:rPr>
              <w:t>Sibylle</w:t>
            </w:r>
            <w:proofErr w:type="spellEnd"/>
            <w:r>
              <w:rPr>
                <w:lang w:eastAsia="de-DE"/>
              </w:rPr>
              <w:t xml:space="preserve"> </w:t>
            </w:r>
            <w:proofErr w:type="spellStart"/>
            <w:r>
              <w:rPr>
                <w:lang w:eastAsia="de-DE"/>
              </w:rPr>
              <w:t>Fröschle</w:t>
            </w:r>
            <w:proofErr w:type="spellEnd"/>
            <w:r>
              <w:rPr>
                <w:lang w:eastAsia="de-DE"/>
              </w:rPr>
              <w:t xml:space="preserve">, Julius </w:t>
            </w:r>
            <w:proofErr w:type="spellStart"/>
            <w:r>
              <w:rPr>
                <w:lang w:eastAsia="de-DE"/>
              </w:rPr>
              <w:t>Möller</w:t>
            </w:r>
            <w:proofErr w:type="spellEnd"/>
          </w:p>
        </w:tc>
      </w:tr>
      <w:tr w:rsidR="00F15F46" w14:paraId="1FA7FE53" w14:textId="77777777" w:rsidTr="00F15F46">
        <w:tc>
          <w:tcPr>
            <w:tcW w:w="2093" w:type="dxa"/>
          </w:tcPr>
          <w:p w14:paraId="60DF44E5" w14:textId="70CA528A" w:rsidR="00F15F46" w:rsidRDefault="00F15F46" w:rsidP="00F15F46">
            <w:pPr>
              <w:pStyle w:val="BodyText"/>
              <w:rPr>
                <w:lang w:eastAsia="de-DE"/>
              </w:rPr>
            </w:pPr>
            <w:r>
              <w:rPr>
                <w:lang w:eastAsia="de-DE"/>
              </w:rPr>
              <w:t>Status</w:t>
            </w:r>
          </w:p>
        </w:tc>
        <w:tc>
          <w:tcPr>
            <w:tcW w:w="7685" w:type="dxa"/>
          </w:tcPr>
          <w:p w14:paraId="7062F6EE" w14:textId="61C4A97D" w:rsidR="00F15F46" w:rsidRDefault="00362799" w:rsidP="00F15F46">
            <w:pPr>
              <w:pStyle w:val="BodyText"/>
              <w:rPr>
                <w:lang w:eastAsia="de-DE"/>
              </w:rPr>
            </w:pPr>
            <w:r>
              <w:rPr>
                <w:lang w:eastAsia="de-DE"/>
              </w:rPr>
              <w:t>provisional</w:t>
            </w:r>
          </w:p>
        </w:tc>
      </w:tr>
    </w:tbl>
    <w:p w14:paraId="664DAD3E" w14:textId="30C8609A" w:rsidR="00F15F46" w:rsidRDefault="00CE5360" w:rsidP="00CE5360">
      <w:pPr>
        <w:pStyle w:val="Heading2"/>
        <w:rPr>
          <w:lang w:eastAsia="de-DE"/>
        </w:rPr>
      </w:pPr>
      <w:r>
        <w:rPr>
          <w:lang w:eastAsia="de-DE"/>
        </w:rPr>
        <w:t>OPERATIONAL CONTEXT</w:t>
      </w:r>
    </w:p>
    <w:p w14:paraId="234BE430" w14:textId="1D7DC654" w:rsidR="00CE5360" w:rsidRDefault="00CE5360" w:rsidP="00CE5360">
      <w:pPr>
        <w:pStyle w:val="BodyText"/>
        <w:rPr>
          <w:lang w:eastAsia="de-DE"/>
        </w:rPr>
      </w:pPr>
      <w:r>
        <w:rPr>
          <w:lang w:eastAsia="de-DE"/>
        </w:rPr>
        <w:t xml:space="preserve">For a high-level description of the service see section </w:t>
      </w:r>
      <w:r>
        <w:rPr>
          <w:lang w:eastAsia="de-DE"/>
        </w:rPr>
        <w:fldChar w:fldCharType="begin"/>
      </w:r>
      <w:r>
        <w:rPr>
          <w:lang w:eastAsia="de-DE"/>
        </w:rPr>
        <w:instrText xml:space="preserve"> REF _Ref17969694 \r \h </w:instrText>
      </w:r>
      <w:r>
        <w:rPr>
          <w:lang w:eastAsia="de-DE"/>
        </w:rPr>
      </w:r>
      <w:r>
        <w:rPr>
          <w:lang w:eastAsia="de-DE"/>
        </w:rPr>
        <w:fldChar w:fldCharType="separate"/>
      </w:r>
      <w:r w:rsidR="000673CB">
        <w:rPr>
          <w:lang w:eastAsia="de-DE"/>
        </w:rPr>
        <w:t>5.2</w:t>
      </w:r>
      <w:r>
        <w:rPr>
          <w:lang w:eastAsia="de-DE"/>
        </w:rPr>
        <w:fldChar w:fldCharType="end"/>
      </w:r>
      <w:r>
        <w:rPr>
          <w:lang w:eastAsia="de-DE"/>
        </w:rPr>
        <w:t>.</w:t>
      </w:r>
    </w:p>
    <w:p w14:paraId="0A216FA4" w14:textId="77777777" w:rsidR="0059039D" w:rsidRDefault="0059039D" w:rsidP="0059039D">
      <w:pPr>
        <w:pStyle w:val="BodyText"/>
        <w:rPr>
          <w:lang w:eastAsia="de-DE"/>
        </w:rPr>
      </w:pPr>
      <w:r>
        <w:rPr>
          <w:lang w:eastAsia="de-DE"/>
        </w:rPr>
        <w:t>Please note, that for demonstration we only implement a subset of the proposed operations in the S-124 Standard, section 11.2.2.</w:t>
      </w:r>
    </w:p>
    <w:p w14:paraId="06FF904B" w14:textId="6DAC79EC" w:rsidR="00CE5360" w:rsidRDefault="00CE5360" w:rsidP="00CE5360">
      <w:pPr>
        <w:pStyle w:val="BodyText"/>
        <w:rPr>
          <w:rStyle w:val="IntenseEmphasis"/>
        </w:rPr>
      </w:pPr>
      <w:r>
        <w:rPr>
          <w:rStyle w:val="IntenseEmphasis"/>
        </w:rPr>
        <w:t>Requirements</w:t>
      </w:r>
    </w:p>
    <w:p w14:paraId="4C49FAC2" w14:textId="2DA27EEF" w:rsidR="00CE5360" w:rsidRDefault="00CE5360" w:rsidP="00CE5360">
      <w:pPr>
        <w:pStyle w:val="BodyText"/>
        <w:rPr>
          <w:lang w:eastAsia="de-DE"/>
        </w:rPr>
      </w:pPr>
    </w:p>
    <w:tbl>
      <w:tblPr>
        <w:tblW w:w="0" w:type="auto"/>
        <w:tblLayout w:type="fixed"/>
        <w:tblLook w:val="0480" w:firstRow="0" w:lastRow="0" w:firstColumn="1" w:lastColumn="0" w:noHBand="0" w:noVBand="1"/>
      </w:tblPr>
      <w:tblGrid>
        <w:gridCol w:w="2235"/>
        <w:gridCol w:w="7654"/>
      </w:tblGrid>
      <w:tr w:rsidR="00CE5360" w:rsidRPr="002C6382" w14:paraId="7578206C" w14:textId="77777777" w:rsidTr="00CE5360">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3E2ADD1" w14:textId="77777777" w:rsidR="00CE5360" w:rsidRPr="00140291" w:rsidRDefault="00CE5360" w:rsidP="00CE5360">
            <w:pPr>
              <w:pStyle w:val="TableHeader"/>
              <w:rPr>
                <w:b w:val="0"/>
              </w:rPr>
            </w:pPr>
            <w:r>
              <w:rPr>
                <w:b w:val="0"/>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A3319F8" w14:textId="0072FB36" w:rsidR="00CE5360" w:rsidRPr="002E54A7" w:rsidRDefault="00CE5360" w:rsidP="00CE5360">
            <w:pPr>
              <w:pStyle w:val="TableHeader"/>
            </w:pPr>
            <w:r>
              <w:t>NWS-RQ1</w:t>
            </w:r>
          </w:p>
        </w:tc>
      </w:tr>
      <w:tr w:rsidR="00CE5360" w:rsidRPr="004C1FF1" w14:paraId="7FD28448" w14:textId="77777777" w:rsidTr="00CE5360">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C80CD91" w14:textId="77777777" w:rsidR="00CE5360" w:rsidRPr="00665CAD" w:rsidRDefault="00CE5360" w:rsidP="00CE5360">
            <w:pPr>
              <w:pStyle w:val="Tablecomment"/>
              <w:rPr>
                <w:b/>
                <w:i w:val="0"/>
              </w:rPr>
            </w:pPr>
            <w:r w:rsidRPr="00665CAD">
              <w:rPr>
                <w:b/>
                <w:i w:val="0"/>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45AF0BF" w14:textId="54DE1555" w:rsidR="00CE5360" w:rsidRPr="00665CAD" w:rsidRDefault="00CE5360" w:rsidP="00CE5360">
            <w:pPr>
              <w:pStyle w:val="Tablecomment"/>
              <w:rPr>
                <w:i w:val="0"/>
              </w:rPr>
            </w:pPr>
            <w:r>
              <w:rPr>
                <w:i w:val="0"/>
              </w:rPr>
              <w:t>Get Datasets</w:t>
            </w:r>
          </w:p>
        </w:tc>
      </w:tr>
      <w:tr w:rsidR="00CE5360" w:rsidRPr="000F60FB" w14:paraId="425A45A4" w14:textId="77777777" w:rsidTr="00CE5360">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A29C780" w14:textId="77777777" w:rsidR="00CE5360" w:rsidRPr="00926760" w:rsidRDefault="00CE5360" w:rsidP="00CE5360">
            <w:pPr>
              <w:pStyle w:val="Tablecomment"/>
              <w:rPr>
                <w:b/>
                <w:i w:val="0"/>
              </w:rPr>
            </w:pPr>
            <w:r>
              <w:rPr>
                <w:b/>
                <w:i w:val="0"/>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FD75164" w14:textId="46BEE0BF" w:rsidR="00CE5360" w:rsidRPr="00CF110B" w:rsidRDefault="00CE5360" w:rsidP="00CE5360">
            <w:pPr>
              <w:pStyle w:val="Tablecomment"/>
              <w:rPr>
                <w:i w:val="0"/>
              </w:rPr>
            </w:pPr>
            <w:r>
              <w:rPr>
                <w:i w:val="0"/>
              </w:rPr>
              <w:t xml:space="preserve">The service must provide a list of current navigational warnings. </w:t>
            </w:r>
          </w:p>
        </w:tc>
      </w:tr>
      <w:tr w:rsidR="00CE5360" w:rsidRPr="000F60FB" w14:paraId="73B17A21" w14:textId="77777777" w:rsidTr="00CE5360">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C2E7607" w14:textId="77777777" w:rsidR="00CE5360" w:rsidRDefault="00CE5360" w:rsidP="00CE5360">
            <w:pPr>
              <w:pStyle w:val="Tablecomment"/>
              <w:rPr>
                <w:b/>
                <w:i w:val="0"/>
              </w:rPr>
            </w:pPr>
            <w:r>
              <w:rPr>
                <w:b/>
                <w:i w:val="0"/>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D72AF07" w14:textId="77777777" w:rsidR="00CE5360" w:rsidRPr="00926760" w:rsidRDefault="00CE5360" w:rsidP="00CE5360">
            <w:pPr>
              <w:pStyle w:val="Tablecomment"/>
              <w:rPr>
                <w:i w:val="0"/>
              </w:rPr>
            </w:pPr>
          </w:p>
        </w:tc>
      </w:tr>
    </w:tbl>
    <w:p w14:paraId="6320C9FD" w14:textId="77B12175" w:rsidR="00CE5360" w:rsidRDefault="00CE5360" w:rsidP="00CE5360">
      <w:pPr>
        <w:pStyle w:val="BodyText"/>
        <w:rPr>
          <w:lang w:eastAsia="de-DE"/>
        </w:rPr>
      </w:pPr>
    </w:p>
    <w:tbl>
      <w:tblPr>
        <w:tblW w:w="0" w:type="auto"/>
        <w:tblLayout w:type="fixed"/>
        <w:tblLook w:val="0480" w:firstRow="0" w:lastRow="0" w:firstColumn="1" w:lastColumn="0" w:noHBand="0" w:noVBand="1"/>
      </w:tblPr>
      <w:tblGrid>
        <w:gridCol w:w="2235"/>
        <w:gridCol w:w="7654"/>
      </w:tblGrid>
      <w:tr w:rsidR="00CE5360" w:rsidRPr="002C6382" w14:paraId="63E76124" w14:textId="77777777" w:rsidTr="00CE5360">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D26F3C2" w14:textId="77777777" w:rsidR="00CE5360" w:rsidRPr="00140291" w:rsidRDefault="00CE5360" w:rsidP="00CE5360">
            <w:pPr>
              <w:pStyle w:val="TableHeader"/>
              <w:rPr>
                <w:b w:val="0"/>
              </w:rPr>
            </w:pPr>
            <w:r>
              <w:rPr>
                <w:b w:val="0"/>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A623065" w14:textId="6CAFD5EA" w:rsidR="00CE5360" w:rsidRPr="002E54A7" w:rsidRDefault="00CE5360" w:rsidP="00CE5360">
            <w:pPr>
              <w:pStyle w:val="TableHeader"/>
            </w:pPr>
            <w:r>
              <w:t>NWS-RQ2</w:t>
            </w:r>
          </w:p>
        </w:tc>
      </w:tr>
      <w:tr w:rsidR="00CE5360" w:rsidRPr="004C1FF1" w14:paraId="7544FB6F" w14:textId="77777777" w:rsidTr="00CE5360">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E8682BC" w14:textId="77777777" w:rsidR="00CE5360" w:rsidRPr="00665CAD" w:rsidRDefault="00CE5360" w:rsidP="00CE5360">
            <w:pPr>
              <w:pStyle w:val="Tablecomment"/>
              <w:rPr>
                <w:b/>
                <w:i w:val="0"/>
              </w:rPr>
            </w:pPr>
            <w:r w:rsidRPr="00665CAD">
              <w:rPr>
                <w:b/>
                <w:i w:val="0"/>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9524C46" w14:textId="7A5FD894" w:rsidR="00CE5360" w:rsidRPr="00665CAD" w:rsidRDefault="00CE5360" w:rsidP="00CE5360">
            <w:pPr>
              <w:pStyle w:val="Tablecomment"/>
              <w:rPr>
                <w:i w:val="0"/>
              </w:rPr>
            </w:pPr>
            <w:r>
              <w:rPr>
                <w:i w:val="0"/>
              </w:rPr>
              <w:t>Get Metadata</w:t>
            </w:r>
          </w:p>
        </w:tc>
      </w:tr>
      <w:tr w:rsidR="00CE5360" w:rsidRPr="000F60FB" w14:paraId="23F3E9FF" w14:textId="77777777" w:rsidTr="00CE5360">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26EC1A4" w14:textId="77777777" w:rsidR="00CE5360" w:rsidRPr="00926760" w:rsidRDefault="00CE5360" w:rsidP="00CE5360">
            <w:pPr>
              <w:pStyle w:val="Tablecomment"/>
              <w:rPr>
                <w:b/>
                <w:i w:val="0"/>
              </w:rPr>
            </w:pPr>
            <w:r>
              <w:rPr>
                <w:b/>
                <w:i w:val="0"/>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E079536" w14:textId="35FECBD0" w:rsidR="00CE5360" w:rsidRPr="00CF110B" w:rsidRDefault="004A5F6E" w:rsidP="00CE5360">
            <w:pPr>
              <w:pStyle w:val="Tablecomment"/>
              <w:rPr>
                <w:i w:val="0"/>
              </w:rPr>
            </w:pPr>
            <w:r>
              <w:rPr>
                <w:i w:val="0"/>
              </w:rPr>
              <w:t>The service must provide metadata for the navigational warning datasets.</w:t>
            </w:r>
          </w:p>
        </w:tc>
      </w:tr>
      <w:tr w:rsidR="00CE5360" w:rsidRPr="000F60FB" w14:paraId="75D2D263" w14:textId="77777777" w:rsidTr="00CE5360">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F64AA03" w14:textId="77777777" w:rsidR="00CE5360" w:rsidRDefault="00CE5360" w:rsidP="00CE5360">
            <w:pPr>
              <w:pStyle w:val="Tablecomment"/>
              <w:rPr>
                <w:b/>
                <w:i w:val="0"/>
              </w:rPr>
            </w:pPr>
            <w:r>
              <w:rPr>
                <w:b/>
                <w:i w:val="0"/>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3DB0EC8" w14:textId="77777777" w:rsidR="00CE5360" w:rsidRPr="00926760" w:rsidRDefault="00CE5360" w:rsidP="00CE5360">
            <w:pPr>
              <w:pStyle w:val="Tablecomment"/>
              <w:rPr>
                <w:i w:val="0"/>
              </w:rPr>
            </w:pPr>
          </w:p>
        </w:tc>
      </w:tr>
    </w:tbl>
    <w:p w14:paraId="615D8E3F" w14:textId="20158E05" w:rsidR="00CE5360" w:rsidRDefault="00CE5360" w:rsidP="00CE5360">
      <w:pPr>
        <w:pStyle w:val="BodyText"/>
        <w:jc w:val="left"/>
        <w:rPr>
          <w:lang w:eastAsia="de-DE"/>
        </w:rPr>
      </w:pPr>
    </w:p>
    <w:tbl>
      <w:tblPr>
        <w:tblW w:w="0" w:type="auto"/>
        <w:tblLayout w:type="fixed"/>
        <w:tblLook w:val="0480" w:firstRow="0" w:lastRow="0" w:firstColumn="1" w:lastColumn="0" w:noHBand="0" w:noVBand="1"/>
      </w:tblPr>
      <w:tblGrid>
        <w:gridCol w:w="2235"/>
        <w:gridCol w:w="7654"/>
      </w:tblGrid>
      <w:tr w:rsidR="004A5F6E" w:rsidRPr="002C6382" w14:paraId="49B4949C" w14:textId="77777777" w:rsidTr="000C6404">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F641F26" w14:textId="77777777" w:rsidR="004A5F6E" w:rsidRPr="00140291" w:rsidRDefault="004A5F6E" w:rsidP="000C6404">
            <w:pPr>
              <w:pStyle w:val="TableHeader"/>
              <w:rPr>
                <w:b w:val="0"/>
              </w:rPr>
            </w:pPr>
            <w:r>
              <w:rPr>
                <w:b w:val="0"/>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F0BFB4D" w14:textId="7876D894" w:rsidR="004A5F6E" w:rsidRPr="002E54A7" w:rsidRDefault="004A5F6E" w:rsidP="000C6404">
            <w:pPr>
              <w:pStyle w:val="TableHeader"/>
            </w:pPr>
            <w:r>
              <w:t>NWS-RQ3</w:t>
            </w:r>
          </w:p>
        </w:tc>
      </w:tr>
      <w:tr w:rsidR="004A5F6E" w:rsidRPr="004C1FF1" w14:paraId="69FE1E87" w14:textId="77777777" w:rsidTr="000C6404">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FB60422" w14:textId="77777777" w:rsidR="004A5F6E" w:rsidRPr="00665CAD" w:rsidRDefault="004A5F6E" w:rsidP="000C6404">
            <w:pPr>
              <w:pStyle w:val="Tablecomment"/>
              <w:rPr>
                <w:b/>
                <w:i w:val="0"/>
              </w:rPr>
            </w:pPr>
            <w:r w:rsidRPr="00665CAD">
              <w:rPr>
                <w:b/>
                <w:i w:val="0"/>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4C94F8F" w14:textId="3B8BEC28" w:rsidR="004A5F6E" w:rsidRPr="00665CAD" w:rsidRDefault="004A5F6E" w:rsidP="000C6404">
            <w:pPr>
              <w:pStyle w:val="Tablecomment"/>
              <w:rPr>
                <w:i w:val="0"/>
              </w:rPr>
            </w:pPr>
            <w:r>
              <w:rPr>
                <w:i w:val="0"/>
              </w:rPr>
              <w:t>Subscribe Warnings</w:t>
            </w:r>
          </w:p>
        </w:tc>
      </w:tr>
      <w:tr w:rsidR="004A5F6E" w:rsidRPr="000F60FB" w14:paraId="25C06244" w14:textId="77777777" w:rsidTr="000C6404">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4E60B5E" w14:textId="77777777" w:rsidR="004A5F6E" w:rsidRPr="00926760" w:rsidRDefault="004A5F6E" w:rsidP="000C6404">
            <w:pPr>
              <w:pStyle w:val="Tablecomment"/>
              <w:rPr>
                <w:b/>
                <w:i w:val="0"/>
              </w:rPr>
            </w:pPr>
            <w:r>
              <w:rPr>
                <w:b/>
                <w:i w:val="0"/>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84EE553" w14:textId="31C02782" w:rsidR="004A5F6E" w:rsidRPr="00CF110B" w:rsidRDefault="004A5F6E" w:rsidP="000C6404">
            <w:pPr>
              <w:pStyle w:val="Tablecomment"/>
              <w:rPr>
                <w:i w:val="0"/>
              </w:rPr>
            </w:pPr>
            <w:r>
              <w:rPr>
                <w:i w:val="0"/>
              </w:rPr>
              <w:t>The service must provide an interface for subscription of navigational warnings. The service consumer needs to be notified when a new navigational warning is created.</w:t>
            </w:r>
          </w:p>
        </w:tc>
      </w:tr>
      <w:tr w:rsidR="004A5F6E" w:rsidRPr="000F60FB" w14:paraId="7A00AFA5" w14:textId="77777777" w:rsidTr="000C6404">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0869E9F" w14:textId="77777777" w:rsidR="004A5F6E" w:rsidRDefault="004A5F6E" w:rsidP="000C6404">
            <w:pPr>
              <w:pStyle w:val="Tablecomment"/>
              <w:rPr>
                <w:b/>
                <w:i w:val="0"/>
              </w:rPr>
            </w:pPr>
            <w:r>
              <w:rPr>
                <w:b/>
                <w:i w:val="0"/>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7802463" w14:textId="77777777" w:rsidR="004A5F6E" w:rsidRPr="00926760" w:rsidRDefault="004A5F6E" w:rsidP="000C6404">
            <w:pPr>
              <w:pStyle w:val="Tablecomment"/>
              <w:rPr>
                <w:i w:val="0"/>
              </w:rPr>
            </w:pPr>
          </w:p>
        </w:tc>
      </w:tr>
    </w:tbl>
    <w:p w14:paraId="75F627DC" w14:textId="1AEB375C" w:rsidR="004A5F6E" w:rsidRDefault="004A5F6E" w:rsidP="00CE5360">
      <w:pPr>
        <w:pStyle w:val="BodyText"/>
        <w:jc w:val="left"/>
        <w:rPr>
          <w:lang w:eastAsia="de-DE"/>
        </w:rPr>
      </w:pPr>
    </w:p>
    <w:tbl>
      <w:tblPr>
        <w:tblW w:w="0" w:type="auto"/>
        <w:tblLayout w:type="fixed"/>
        <w:tblLook w:val="0480" w:firstRow="0" w:lastRow="0" w:firstColumn="1" w:lastColumn="0" w:noHBand="0" w:noVBand="1"/>
      </w:tblPr>
      <w:tblGrid>
        <w:gridCol w:w="2235"/>
        <w:gridCol w:w="7654"/>
      </w:tblGrid>
      <w:tr w:rsidR="004A5F6E" w:rsidRPr="002C6382" w14:paraId="68DC0CD7" w14:textId="77777777" w:rsidTr="000C6404">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6EC93CE" w14:textId="77777777" w:rsidR="004A5F6E" w:rsidRPr="00140291" w:rsidRDefault="004A5F6E" w:rsidP="000C6404">
            <w:pPr>
              <w:pStyle w:val="TableHeader"/>
              <w:rPr>
                <w:b w:val="0"/>
              </w:rPr>
            </w:pPr>
            <w:r>
              <w:rPr>
                <w:b w:val="0"/>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CEF0693" w14:textId="6E11E015" w:rsidR="004A5F6E" w:rsidRPr="002E54A7" w:rsidRDefault="004A5F6E" w:rsidP="000C6404">
            <w:pPr>
              <w:pStyle w:val="TableHeader"/>
            </w:pPr>
            <w:r>
              <w:t>NWS-RQ4</w:t>
            </w:r>
          </w:p>
        </w:tc>
      </w:tr>
      <w:tr w:rsidR="004A5F6E" w:rsidRPr="004C1FF1" w14:paraId="5CF1F152" w14:textId="77777777" w:rsidTr="000C6404">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CE59355" w14:textId="77777777" w:rsidR="004A5F6E" w:rsidRPr="00665CAD" w:rsidRDefault="004A5F6E" w:rsidP="000C6404">
            <w:pPr>
              <w:pStyle w:val="Tablecomment"/>
              <w:rPr>
                <w:b/>
                <w:i w:val="0"/>
              </w:rPr>
            </w:pPr>
            <w:r w:rsidRPr="00665CAD">
              <w:rPr>
                <w:b/>
                <w:i w:val="0"/>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E520E0D" w14:textId="4BA0A4CF" w:rsidR="004A5F6E" w:rsidRPr="00665CAD" w:rsidRDefault="004A5F6E" w:rsidP="000C6404">
            <w:pPr>
              <w:pStyle w:val="Tablecomment"/>
              <w:rPr>
                <w:i w:val="0"/>
              </w:rPr>
            </w:pPr>
            <w:r>
              <w:rPr>
                <w:i w:val="0"/>
              </w:rPr>
              <w:t>Message signing</w:t>
            </w:r>
          </w:p>
        </w:tc>
      </w:tr>
      <w:tr w:rsidR="004A5F6E" w:rsidRPr="000F60FB" w14:paraId="2650E05C" w14:textId="77777777" w:rsidTr="000C6404">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8C3C682" w14:textId="77777777" w:rsidR="004A5F6E" w:rsidRPr="00926760" w:rsidRDefault="004A5F6E" w:rsidP="000C6404">
            <w:pPr>
              <w:pStyle w:val="Tablecomment"/>
              <w:rPr>
                <w:b/>
                <w:i w:val="0"/>
              </w:rPr>
            </w:pPr>
            <w:r>
              <w:rPr>
                <w:b/>
                <w:i w:val="0"/>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9A33C66" w14:textId="52978D8C" w:rsidR="004A5F6E" w:rsidRPr="00CF110B" w:rsidRDefault="0059039D" w:rsidP="000C6404">
            <w:pPr>
              <w:pStyle w:val="Tablecomment"/>
              <w:rPr>
                <w:i w:val="0"/>
              </w:rPr>
            </w:pPr>
            <w:r>
              <w:rPr>
                <w:i w:val="0"/>
              </w:rPr>
              <w:t>Navigational warning datasets must be signed.</w:t>
            </w:r>
          </w:p>
        </w:tc>
      </w:tr>
      <w:tr w:rsidR="004A5F6E" w:rsidRPr="000F60FB" w14:paraId="734F06BC" w14:textId="77777777" w:rsidTr="000C6404">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7BBF1F5" w14:textId="77777777" w:rsidR="004A5F6E" w:rsidRDefault="004A5F6E" w:rsidP="000C6404">
            <w:pPr>
              <w:pStyle w:val="Tablecomment"/>
              <w:rPr>
                <w:b/>
                <w:i w:val="0"/>
              </w:rPr>
            </w:pPr>
            <w:r>
              <w:rPr>
                <w:b/>
                <w:i w:val="0"/>
              </w:rPr>
              <w:lastRenderedPageBreak/>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03DF0E3" w14:textId="5A5D48F2" w:rsidR="004A5F6E" w:rsidRPr="00926760" w:rsidRDefault="0059039D" w:rsidP="000C6404">
            <w:pPr>
              <w:pStyle w:val="Tablecomment"/>
              <w:rPr>
                <w:i w:val="0"/>
              </w:rPr>
            </w:pPr>
            <w:r>
              <w:rPr>
                <w:i w:val="0"/>
              </w:rPr>
              <w:t>Security</w:t>
            </w:r>
          </w:p>
        </w:tc>
      </w:tr>
    </w:tbl>
    <w:p w14:paraId="74836154" w14:textId="5A519D37" w:rsidR="004A5F6E" w:rsidRDefault="004A5F6E" w:rsidP="00CE5360">
      <w:pPr>
        <w:pStyle w:val="BodyText"/>
        <w:jc w:val="left"/>
        <w:rPr>
          <w:lang w:eastAsia="de-DE"/>
        </w:rPr>
      </w:pPr>
    </w:p>
    <w:p w14:paraId="123D8220" w14:textId="2323994B" w:rsidR="0059039D" w:rsidRDefault="0059039D" w:rsidP="0059039D">
      <w:pPr>
        <w:pStyle w:val="BodyText"/>
        <w:rPr>
          <w:rStyle w:val="IntenseEmphasis"/>
        </w:rPr>
      </w:pPr>
      <w:r>
        <w:rPr>
          <w:rStyle w:val="IntenseEmphasis"/>
        </w:rPr>
        <w:t>Operational Nodes</w:t>
      </w:r>
    </w:p>
    <w:p w14:paraId="08092B8A" w14:textId="77777777" w:rsidR="0059039D" w:rsidRPr="00CE5360" w:rsidRDefault="0059039D" w:rsidP="00CE5360">
      <w:pPr>
        <w:pStyle w:val="BodyText"/>
        <w:jc w:val="left"/>
        <w:rPr>
          <w:lang w:eastAsia="de-DE"/>
        </w:rPr>
      </w:pPr>
    </w:p>
    <w:tbl>
      <w:tblPr>
        <w:tblW w:w="0" w:type="auto"/>
        <w:tblLayout w:type="fixed"/>
        <w:tblLook w:val="0480" w:firstRow="0" w:lastRow="0" w:firstColumn="1" w:lastColumn="0" w:noHBand="0" w:noVBand="1"/>
      </w:tblPr>
      <w:tblGrid>
        <w:gridCol w:w="3227"/>
        <w:gridCol w:w="6662"/>
      </w:tblGrid>
      <w:tr w:rsidR="0059039D" w:rsidRPr="002C6382" w14:paraId="0728CD1D" w14:textId="77777777" w:rsidTr="000C6404">
        <w:trPr>
          <w:trHeight w:val="567"/>
        </w:trPr>
        <w:tc>
          <w:tcPr>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3125041" w14:textId="77777777" w:rsidR="0059039D" w:rsidRPr="00140291" w:rsidRDefault="0059039D" w:rsidP="000C6404">
            <w:pPr>
              <w:pStyle w:val="TableHeader"/>
              <w:rPr>
                <w:b w:val="0"/>
              </w:rPr>
            </w:pPr>
            <w:r>
              <w:rPr>
                <w:b w:val="0"/>
              </w:rPr>
              <w:t>Operational Node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09D8CA2" w14:textId="77777777" w:rsidR="0059039D" w:rsidRPr="002E54A7" w:rsidRDefault="0059039D" w:rsidP="000C6404">
            <w:pPr>
              <w:pStyle w:val="TableHeader"/>
            </w:pPr>
            <w:r>
              <w:t>Remarks</w:t>
            </w:r>
          </w:p>
        </w:tc>
      </w:tr>
      <w:tr w:rsidR="0059039D" w:rsidRPr="002C6382" w14:paraId="62FC824C" w14:textId="77777777" w:rsidTr="000C6404">
        <w:trPr>
          <w:trHeight w:val="567"/>
        </w:trPr>
        <w:tc>
          <w:tcPr>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3519618" w14:textId="5B9443F9" w:rsidR="0059039D" w:rsidRPr="006B150D" w:rsidRDefault="0059039D" w:rsidP="000C6404">
            <w:pPr>
              <w:pStyle w:val="Tablecomment"/>
              <w:rPr>
                <w:b/>
                <w:i w:val="0"/>
              </w:rPr>
            </w:pPr>
            <w:r>
              <w:rPr>
                <w:b/>
                <w:i w:val="0"/>
              </w:rPr>
              <w:t>Vessels</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BF7F847" w14:textId="12A4C6BA" w:rsidR="0059039D" w:rsidRPr="006B150D" w:rsidRDefault="0059039D" w:rsidP="000C6404">
            <w:pPr>
              <w:pStyle w:val="Tablecomment"/>
              <w:rPr>
                <w:i w:val="0"/>
              </w:rPr>
            </w:pPr>
            <w:r>
              <w:rPr>
                <w:i w:val="0"/>
              </w:rPr>
              <w:t>Vessels at sea.</w:t>
            </w:r>
          </w:p>
        </w:tc>
      </w:tr>
      <w:tr w:rsidR="0059039D" w:rsidRPr="002C6382" w14:paraId="339FE374" w14:textId="77777777" w:rsidTr="000C6404">
        <w:trPr>
          <w:trHeight w:val="567"/>
        </w:trPr>
        <w:tc>
          <w:tcPr>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C1F9AE5" w14:textId="294EA962" w:rsidR="0059039D" w:rsidRDefault="0059039D" w:rsidP="0059039D">
            <w:pPr>
              <w:pStyle w:val="Tablecomment"/>
              <w:rPr>
                <w:b/>
                <w:i w:val="0"/>
              </w:rPr>
            </w:pPr>
            <w:r>
              <w:rPr>
                <w:b/>
                <w:i w:val="0"/>
              </w:rPr>
              <w:t>NW-Service providers</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385EB47" w14:textId="630D84C3" w:rsidR="0059039D" w:rsidRPr="006B150D" w:rsidRDefault="0059039D" w:rsidP="000C6404">
            <w:pPr>
              <w:pStyle w:val="Tablecomment"/>
              <w:rPr>
                <w:i w:val="0"/>
              </w:rPr>
            </w:pPr>
            <w:r>
              <w:rPr>
                <w:i w:val="0"/>
              </w:rPr>
              <w:t>Service providers that publish MSI.</w:t>
            </w:r>
          </w:p>
        </w:tc>
      </w:tr>
      <w:tr w:rsidR="0059039D" w:rsidRPr="002C6382" w14:paraId="1E471A75" w14:textId="77777777" w:rsidTr="000C6404">
        <w:trPr>
          <w:trHeight w:val="567"/>
        </w:trPr>
        <w:tc>
          <w:tcPr>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93ED131" w14:textId="3457273B" w:rsidR="0059039D" w:rsidRDefault="0059039D" w:rsidP="0059039D">
            <w:pPr>
              <w:pStyle w:val="Tablecomment"/>
              <w:rPr>
                <w:b/>
                <w:i w:val="0"/>
              </w:rPr>
            </w:pPr>
            <w:r>
              <w:rPr>
                <w:b/>
                <w:i w:val="0"/>
              </w:rPr>
              <w:t>Certification Authorities</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9EC034A" w14:textId="70B83582" w:rsidR="0059039D" w:rsidRDefault="0059039D" w:rsidP="000C6404">
            <w:pPr>
              <w:pStyle w:val="Tablecomment"/>
              <w:rPr>
                <w:i w:val="0"/>
              </w:rPr>
            </w:pPr>
            <w:r>
              <w:rPr>
                <w:i w:val="0"/>
              </w:rPr>
              <w:t xml:space="preserve">Certification Authorities that issue certificates to sign the datasets. </w:t>
            </w:r>
          </w:p>
        </w:tc>
      </w:tr>
    </w:tbl>
    <w:p w14:paraId="7E1E5B5A" w14:textId="43FD220B" w:rsidR="00514ABB" w:rsidRDefault="00F3554E" w:rsidP="00F3554E">
      <w:pPr>
        <w:pStyle w:val="Heading2"/>
      </w:pPr>
      <w:r>
        <w:t>SERVICE OVERVIEW</w:t>
      </w:r>
    </w:p>
    <w:p w14:paraId="610FD530" w14:textId="7507E65E" w:rsidR="009F32EF" w:rsidRPr="009F32EF" w:rsidRDefault="009F32EF" w:rsidP="009F32EF">
      <w:pPr>
        <w:pStyle w:val="BodyText"/>
      </w:pPr>
      <w:r>
        <w:t>The following diagram gives an overview of the main elements of the service.</w:t>
      </w:r>
    </w:p>
    <w:p w14:paraId="5EA981BE" w14:textId="77777777" w:rsidR="001811C2" w:rsidRDefault="001811C2" w:rsidP="001811C2">
      <w:pPr>
        <w:pStyle w:val="BodyText"/>
        <w:jc w:val="center"/>
        <w:rPr>
          <w:noProof/>
        </w:rPr>
      </w:pPr>
    </w:p>
    <w:p w14:paraId="76DEAA67" w14:textId="768EA327" w:rsidR="001811C2" w:rsidRDefault="001811C2" w:rsidP="001811C2">
      <w:pPr>
        <w:pStyle w:val="Caption"/>
        <w:jc w:val="center"/>
      </w:pPr>
      <w:r>
        <w:rPr>
          <w:noProof/>
        </w:rPr>
        <w:drawing>
          <wp:inline distT="0" distB="0" distL="0" distR="0" wp14:anchorId="10AABC47" wp14:editId="590BE7F4">
            <wp:extent cx="4156364" cy="2874010"/>
            <wp:effectExtent l="0" t="0" r="0" b="2540"/>
            <wp:docPr id="4" name="Grafik 4" descr="Ein Bild, das Screenshot,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1128 overview.png"/>
                    <pic:cNvPicPr/>
                  </pic:nvPicPr>
                  <pic:blipFill rotWithShape="1">
                    <a:blip r:embed="rId21"/>
                    <a:srcRect l="2209" t="3482" r="3902" b="7475"/>
                    <a:stretch/>
                  </pic:blipFill>
                  <pic:spPr bwMode="auto">
                    <a:xfrm>
                      <a:off x="0" y="0"/>
                      <a:ext cx="4176715" cy="2888082"/>
                    </a:xfrm>
                    <a:prstGeom prst="rect">
                      <a:avLst/>
                    </a:prstGeom>
                    <a:ln>
                      <a:noFill/>
                    </a:ln>
                    <a:extLst>
                      <a:ext uri="{53640926-AAD7-44D8-BBD7-CCE9431645EC}">
                        <a14:shadowObscured xmlns:a14="http://schemas.microsoft.com/office/drawing/2010/main"/>
                      </a:ext>
                    </a:extLst>
                  </pic:spPr>
                </pic:pic>
              </a:graphicData>
            </a:graphic>
          </wp:inline>
        </w:drawing>
      </w:r>
    </w:p>
    <w:p w14:paraId="3FCAE60A" w14:textId="17146DC7" w:rsidR="001811C2" w:rsidRDefault="001811C2" w:rsidP="001811C2">
      <w:pPr>
        <w:pStyle w:val="Caption"/>
        <w:jc w:val="center"/>
      </w:pPr>
      <w:r>
        <w:t xml:space="preserve">Figure </w:t>
      </w:r>
      <w:r>
        <w:fldChar w:fldCharType="begin"/>
      </w:r>
      <w:r>
        <w:instrText xml:space="preserve"> SEQ Figure \* ARABIC </w:instrText>
      </w:r>
      <w:r>
        <w:fldChar w:fldCharType="separate"/>
      </w:r>
      <w:r w:rsidR="000673CB">
        <w:rPr>
          <w:noProof/>
        </w:rPr>
        <w:t>16</w:t>
      </w:r>
      <w:r>
        <w:fldChar w:fldCharType="end"/>
      </w:r>
      <w:r>
        <w:t>: Navigational Warnings Service Interface Definition Diagram.</w:t>
      </w:r>
    </w:p>
    <w:tbl>
      <w:tblPr>
        <w:tblStyle w:val="GridTable1Light-Accent3"/>
        <w:tblW w:w="0" w:type="auto"/>
        <w:tblLook w:val="04A0" w:firstRow="1" w:lastRow="0" w:firstColumn="1" w:lastColumn="0" w:noHBand="0" w:noVBand="1"/>
      </w:tblPr>
      <w:tblGrid>
        <w:gridCol w:w="3249"/>
        <w:gridCol w:w="3152"/>
        <w:gridCol w:w="3227"/>
      </w:tblGrid>
      <w:tr w:rsidR="001811C2" w14:paraId="5E3C0665" w14:textId="77777777" w:rsidTr="009F32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9" w:type="dxa"/>
          </w:tcPr>
          <w:p w14:paraId="261FA09F" w14:textId="6DCD9E95" w:rsidR="001811C2" w:rsidRPr="009F32EF" w:rsidRDefault="001811C2" w:rsidP="001811C2">
            <w:pPr>
              <w:jc w:val="center"/>
              <w:rPr>
                <w:rFonts w:asciiTheme="minorHAnsi" w:hAnsiTheme="minorHAnsi" w:cstheme="minorHAnsi"/>
                <w:lang w:val="en-US" w:eastAsia="ja-JP"/>
              </w:rPr>
            </w:pPr>
            <w:r w:rsidRPr="009F32EF">
              <w:rPr>
                <w:rFonts w:asciiTheme="minorHAnsi" w:hAnsiTheme="minorHAnsi" w:cstheme="minorHAnsi"/>
                <w:lang w:val="en-US" w:eastAsia="ja-JP"/>
              </w:rPr>
              <w:t>Service Interface</w:t>
            </w:r>
          </w:p>
        </w:tc>
        <w:tc>
          <w:tcPr>
            <w:tcW w:w="3259" w:type="dxa"/>
          </w:tcPr>
          <w:p w14:paraId="2661CB21" w14:textId="00DD515F" w:rsidR="001811C2" w:rsidRPr="009F32EF" w:rsidRDefault="001811C2" w:rsidP="001811C2">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sidRPr="009F32EF">
              <w:rPr>
                <w:rFonts w:asciiTheme="minorHAnsi" w:hAnsiTheme="minorHAnsi" w:cstheme="minorHAnsi"/>
              </w:rPr>
              <w:t>Role (from service provider point of view)</w:t>
            </w:r>
          </w:p>
        </w:tc>
        <w:tc>
          <w:tcPr>
            <w:tcW w:w="3260" w:type="dxa"/>
          </w:tcPr>
          <w:p w14:paraId="10BA82E3" w14:textId="1DDE7B03" w:rsidR="001811C2" w:rsidRPr="009F32EF" w:rsidRDefault="001811C2" w:rsidP="001811C2">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proofErr w:type="spellStart"/>
            <w:r w:rsidRPr="009F32EF">
              <w:rPr>
                <w:rFonts w:asciiTheme="minorHAnsi" w:hAnsiTheme="minorHAnsi" w:cstheme="minorHAnsi"/>
              </w:rPr>
              <w:t>ServiceOperation</w:t>
            </w:r>
            <w:proofErr w:type="spellEnd"/>
          </w:p>
        </w:tc>
      </w:tr>
      <w:tr w:rsidR="001811C2" w14:paraId="0DC27731" w14:textId="77777777" w:rsidTr="009F32EF">
        <w:tc>
          <w:tcPr>
            <w:cnfStyle w:val="001000000000" w:firstRow="0" w:lastRow="0" w:firstColumn="1" w:lastColumn="0" w:oddVBand="0" w:evenVBand="0" w:oddHBand="0" w:evenHBand="0" w:firstRowFirstColumn="0" w:firstRowLastColumn="0" w:lastRowFirstColumn="0" w:lastRowLastColumn="0"/>
            <w:tcW w:w="3259" w:type="dxa"/>
          </w:tcPr>
          <w:p w14:paraId="3FCE38EB" w14:textId="38330B11" w:rsidR="001811C2" w:rsidRPr="009F32EF" w:rsidRDefault="009F32EF" w:rsidP="001811C2">
            <w:pPr>
              <w:rPr>
                <w:rFonts w:asciiTheme="minorHAnsi" w:hAnsiTheme="minorHAnsi" w:cstheme="minorHAnsi"/>
                <w:lang w:val="en-US" w:eastAsia="ja-JP"/>
              </w:rPr>
            </w:pPr>
            <w:proofErr w:type="spellStart"/>
            <w:r>
              <w:rPr>
                <w:rFonts w:asciiTheme="minorHAnsi" w:hAnsiTheme="minorHAnsi" w:cstheme="minorHAnsi"/>
                <w:lang w:val="en-US" w:eastAsia="ja-JP"/>
              </w:rPr>
              <w:t>SessionInterface</w:t>
            </w:r>
            <w:proofErr w:type="spellEnd"/>
          </w:p>
        </w:tc>
        <w:tc>
          <w:tcPr>
            <w:tcW w:w="3259" w:type="dxa"/>
          </w:tcPr>
          <w:p w14:paraId="656A5C3F" w14:textId="058605D4" w:rsidR="001811C2" w:rsidRPr="009F32EF" w:rsidRDefault="009F32EF" w:rsidP="001811C2">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provided</w:t>
            </w:r>
          </w:p>
        </w:tc>
        <w:tc>
          <w:tcPr>
            <w:tcW w:w="3260" w:type="dxa"/>
          </w:tcPr>
          <w:p w14:paraId="3C61C4AA" w14:textId="4F3A7399" w:rsidR="001811C2" w:rsidRPr="009F32EF" w:rsidRDefault="009F32EF" w:rsidP="001811C2">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proofErr w:type="spellStart"/>
            <w:r>
              <w:rPr>
                <w:rFonts w:asciiTheme="minorHAnsi" w:hAnsiTheme="minorHAnsi" w:cstheme="minorHAnsi"/>
                <w:lang w:val="en-US" w:eastAsia="ja-JP"/>
              </w:rPr>
              <w:t>StartSession</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EndSession</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KeepAlive</w:t>
            </w:r>
            <w:proofErr w:type="spellEnd"/>
          </w:p>
        </w:tc>
      </w:tr>
      <w:tr w:rsidR="001811C2" w14:paraId="0CC1138B" w14:textId="77777777" w:rsidTr="009F32EF">
        <w:tc>
          <w:tcPr>
            <w:cnfStyle w:val="001000000000" w:firstRow="0" w:lastRow="0" w:firstColumn="1" w:lastColumn="0" w:oddVBand="0" w:evenVBand="0" w:oddHBand="0" w:evenHBand="0" w:firstRowFirstColumn="0" w:firstRowLastColumn="0" w:lastRowFirstColumn="0" w:lastRowLastColumn="0"/>
            <w:tcW w:w="3259" w:type="dxa"/>
          </w:tcPr>
          <w:p w14:paraId="78634693" w14:textId="7AE09052" w:rsidR="001811C2" w:rsidRPr="009F32EF" w:rsidRDefault="009F32EF" w:rsidP="001811C2">
            <w:pPr>
              <w:rPr>
                <w:rFonts w:asciiTheme="minorHAnsi" w:hAnsiTheme="minorHAnsi" w:cstheme="minorHAnsi"/>
                <w:lang w:val="en-US" w:eastAsia="ja-JP"/>
              </w:rPr>
            </w:pPr>
            <w:proofErr w:type="spellStart"/>
            <w:r>
              <w:rPr>
                <w:rFonts w:asciiTheme="minorHAnsi" w:hAnsiTheme="minorHAnsi" w:cstheme="minorHAnsi"/>
                <w:lang w:val="en-US" w:eastAsia="ja-JP"/>
              </w:rPr>
              <w:t>NavigationalWarningsInterface</w:t>
            </w:r>
            <w:proofErr w:type="spellEnd"/>
          </w:p>
        </w:tc>
        <w:tc>
          <w:tcPr>
            <w:tcW w:w="3259" w:type="dxa"/>
          </w:tcPr>
          <w:p w14:paraId="139762F3" w14:textId="17AEB0B0" w:rsidR="001811C2" w:rsidRPr="009F32EF" w:rsidRDefault="009F32EF" w:rsidP="001811C2">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provided</w:t>
            </w:r>
          </w:p>
        </w:tc>
        <w:tc>
          <w:tcPr>
            <w:tcW w:w="3260" w:type="dxa"/>
          </w:tcPr>
          <w:p w14:paraId="31BBCD55" w14:textId="62B139A4" w:rsidR="001811C2" w:rsidRPr="009F32EF" w:rsidRDefault="009F32EF" w:rsidP="001811C2">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proofErr w:type="spellStart"/>
            <w:r>
              <w:rPr>
                <w:rFonts w:asciiTheme="minorHAnsi" w:hAnsiTheme="minorHAnsi" w:cstheme="minorHAnsi"/>
                <w:lang w:val="en-US" w:eastAsia="ja-JP"/>
              </w:rPr>
              <w:t>Get_NW_Messages</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Subscribe_NW_Messages</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GetMetadata</w:t>
            </w:r>
            <w:proofErr w:type="spellEnd"/>
          </w:p>
        </w:tc>
      </w:tr>
    </w:tbl>
    <w:p w14:paraId="127754A7" w14:textId="4C861572" w:rsidR="001811C2" w:rsidRDefault="001811C2" w:rsidP="001811C2">
      <w:pPr>
        <w:rPr>
          <w:lang w:val="en-US" w:eastAsia="ja-JP"/>
        </w:rPr>
      </w:pPr>
    </w:p>
    <w:p w14:paraId="4EF1913A" w14:textId="622D981E" w:rsidR="009F32EF" w:rsidRDefault="009F32EF" w:rsidP="009F32EF">
      <w:pPr>
        <w:pStyle w:val="Heading2"/>
        <w:rPr>
          <w:lang w:val="en-US" w:eastAsia="ja-JP"/>
        </w:rPr>
      </w:pPr>
      <w:r>
        <w:rPr>
          <w:lang w:val="en-US" w:eastAsia="ja-JP"/>
        </w:rPr>
        <w:t>SERVICE DATA MODEL</w:t>
      </w:r>
    </w:p>
    <w:p w14:paraId="0A319683" w14:textId="5127CE5D" w:rsidR="009F32EF" w:rsidRDefault="009F32EF" w:rsidP="009F32EF">
      <w:pPr>
        <w:pStyle w:val="BodyText"/>
        <w:rPr>
          <w:lang w:val="en-US" w:eastAsia="ja-JP"/>
        </w:rPr>
      </w:pPr>
      <w:r>
        <w:rPr>
          <w:lang w:val="en-US" w:eastAsia="ja-JP"/>
        </w:rPr>
        <w:t>The service uses an external data model, which is described by the S-124 standard.</w:t>
      </w:r>
      <w:r w:rsidR="00841856">
        <w:rPr>
          <w:lang w:val="en-US" w:eastAsia="ja-JP"/>
        </w:rPr>
        <w:t xml:space="preserve"> Additions to the S-124 data model regarding security are discussed in section </w:t>
      </w:r>
      <w:r w:rsidR="00841856">
        <w:rPr>
          <w:lang w:val="en-US" w:eastAsia="ja-JP"/>
        </w:rPr>
        <w:fldChar w:fldCharType="begin"/>
      </w:r>
      <w:r w:rsidR="00841856">
        <w:rPr>
          <w:lang w:val="en-US" w:eastAsia="ja-JP"/>
        </w:rPr>
        <w:instrText xml:space="preserve"> REF _Ref17285203 \r \h </w:instrText>
      </w:r>
      <w:r w:rsidR="00841856">
        <w:rPr>
          <w:lang w:val="en-US" w:eastAsia="ja-JP"/>
        </w:rPr>
      </w:r>
      <w:r w:rsidR="00841856">
        <w:rPr>
          <w:lang w:val="en-US" w:eastAsia="ja-JP"/>
        </w:rPr>
        <w:fldChar w:fldCharType="separate"/>
      </w:r>
      <w:r w:rsidR="000673CB">
        <w:rPr>
          <w:lang w:val="en-US" w:eastAsia="ja-JP"/>
        </w:rPr>
        <w:t>5.4</w:t>
      </w:r>
      <w:r w:rsidR="00841856">
        <w:rPr>
          <w:lang w:val="en-US" w:eastAsia="ja-JP"/>
        </w:rPr>
        <w:fldChar w:fldCharType="end"/>
      </w:r>
      <w:r w:rsidR="00841856">
        <w:rPr>
          <w:lang w:val="en-US" w:eastAsia="ja-JP"/>
        </w:rPr>
        <w:t>.</w:t>
      </w:r>
    </w:p>
    <w:p w14:paraId="75D859A1" w14:textId="1321D47A" w:rsidR="000C6404" w:rsidRDefault="000C6404" w:rsidP="000C6404">
      <w:pPr>
        <w:pStyle w:val="Heading2"/>
        <w:rPr>
          <w:lang w:val="en-US" w:eastAsia="ja-JP"/>
        </w:rPr>
      </w:pPr>
      <w:r>
        <w:rPr>
          <w:lang w:val="en-US" w:eastAsia="ja-JP"/>
        </w:rPr>
        <w:t>SERVICE INTERFACE SPECIFICATIONS</w:t>
      </w:r>
    </w:p>
    <w:p w14:paraId="446C0B61" w14:textId="5AEA1EBC" w:rsidR="000C6404" w:rsidRDefault="000131AC" w:rsidP="000C6404">
      <w:pPr>
        <w:pStyle w:val="BodyText"/>
        <w:rPr>
          <w:rStyle w:val="IntenseEmphasis"/>
        </w:rPr>
      </w:pPr>
      <w:r>
        <w:rPr>
          <w:rStyle w:val="IntenseEmphasis"/>
        </w:rPr>
        <w:lastRenderedPageBreak/>
        <w:t xml:space="preserve">SERVICE INTERFACE </w:t>
      </w:r>
      <w:proofErr w:type="spellStart"/>
      <w:r w:rsidR="000C6404">
        <w:rPr>
          <w:rStyle w:val="IntenseEmphasis"/>
        </w:rPr>
        <w:t>SessionInterface</w:t>
      </w:r>
      <w:proofErr w:type="spellEnd"/>
    </w:p>
    <w:p w14:paraId="4BD5235B" w14:textId="535BBE4D" w:rsidR="000C6404" w:rsidRDefault="000C6404" w:rsidP="000C6404">
      <w:pPr>
        <w:pStyle w:val="BodyText"/>
        <w:rPr>
          <w:rStyle w:val="IntenseEmphasis"/>
          <w:i w:val="0"/>
          <w:iCs w:val="0"/>
          <w:color w:val="auto"/>
        </w:rPr>
      </w:pPr>
      <w:r>
        <w:rPr>
          <w:rStyle w:val="IntenseEmphasis"/>
          <w:i w:val="0"/>
          <w:iCs w:val="0"/>
          <w:color w:val="auto"/>
        </w:rPr>
        <w:t xml:space="preserve">The session interface provides functionalities for starting, ending or keeping alive a session. Sessions are used </w:t>
      </w:r>
      <w:r w:rsidR="000131AC">
        <w:rPr>
          <w:rStyle w:val="IntenseEmphasis"/>
          <w:i w:val="0"/>
          <w:iCs w:val="0"/>
          <w:color w:val="auto"/>
        </w:rPr>
        <w:t>for keeping track of the current information state of each consumer of the service. The use of sessions is not mandatory, but it can help minimizing the traffic between service and consumer.</w:t>
      </w:r>
    </w:p>
    <w:p w14:paraId="05103F52" w14:textId="77777777" w:rsidR="00841856" w:rsidRDefault="00841856" w:rsidP="00841856">
      <w:pPr>
        <w:pStyle w:val="BodyText"/>
        <w:rPr>
          <w:noProof/>
        </w:rPr>
      </w:pPr>
      <w:r w:rsidRPr="00841856">
        <w:rPr>
          <w:b/>
          <w:noProof/>
        </w:rPr>
        <w:t>OPERATION</w:t>
      </w:r>
      <w:r>
        <w:rPr>
          <w:noProof/>
        </w:rPr>
        <w:t xml:space="preserve"> StartSession</w:t>
      </w:r>
    </w:p>
    <w:p w14:paraId="5B59DFAA" w14:textId="77777777" w:rsidR="00841856" w:rsidRDefault="00841856" w:rsidP="00841856">
      <w:pPr>
        <w:pStyle w:val="BodyText"/>
        <w:jc w:val="center"/>
        <w:rPr>
          <w:noProof/>
        </w:rPr>
      </w:pPr>
      <w:r>
        <w:rPr>
          <w:noProof/>
        </w:rPr>
        <w:drawing>
          <wp:inline distT="0" distB="0" distL="0" distR="0" wp14:anchorId="4342701A" wp14:editId="66D3677D">
            <wp:extent cx="2677488" cy="1371129"/>
            <wp:effectExtent l="0" t="0" r="8890" b="635"/>
            <wp:docPr id="19" name="Grafik 19"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14"/>
                    <a:srcRect l="8064" t="61579" r="48142" b="12866"/>
                    <a:stretch/>
                  </pic:blipFill>
                  <pic:spPr bwMode="auto">
                    <a:xfrm>
                      <a:off x="0" y="0"/>
                      <a:ext cx="2680233" cy="1372535"/>
                    </a:xfrm>
                    <a:prstGeom prst="rect">
                      <a:avLst/>
                    </a:prstGeom>
                    <a:ln>
                      <a:noFill/>
                    </a:ln>
                    <a:extLst>
                      <a:ext uri="{53640926-AAD7-44D8-BBD7-CCE9431645EC}">
                        <a14:shadowObscured xmlns:a14="http://schemas.microsoft.com/office/drawing/2010/main"/>
                      </a:ext>
                    </a:extLst>
                  </pic:spPr>
                </pic:pic>
              </a:graphicData>
            </a:graphic>
          </wp:inline>
        </w:drawing>
      </w:r>
    </w:p>
    <w:p w14:paraId="21E66EE9" w14:textId="77777777" w:rsidR="00841856" w:rsidRDefault="00841856" w:rsidP="00841856">
      <w:pPr>
        <w:pStyle w:val="BodyText"/>
        <w:rPr>
          <w:noProof/>
        </w:rPr>
      </w:pPr>
      <w:r w:rsidRPr="00841856">
        <w:rPr>
          <w:b/>
          <w:noProof/>
        </w:rPr>
        <w:t>OPERATION FUNCTIONALITY</w:t>
      </w:r>
      <w:r>
        <w:rPr>
          <w:noProof/>
        </w:rPr>
        <w:t>: Starts a new session.</w:t>
      </w:r>
    </w:p>
    <w:p w14:paraId="20399552" w14:textId="77777777" w:rsidR="00841856" w:rsidRDefault="00841856" w:rsidP="00841856">
      <w:pPr>
        <w:pStyle w:val="BodyText"/>
        <w:rPr>
          <w:noProof/>
        </w:rPr>
      </w:pPr>
      <w:r w:rsidRPr="00841856">
        <w:rPr>
          <w:b/>
          <w:noProof/>
        </w:rPr>
        <w:t>OPERATION PARAMETERS</w:t>
      </w:r>
      <w:r w:rsidRPr="00841856">
        <w:rPr>
          <w:noProof/>
        </w:rPr>
        <w:t>:</w:t>
      </w:r>
    </w:p>
    <w:tbl>
      <w:tblPr>
        <w:tblStyle w:val="ListTable3-Accent3"/>
        <w:tblW w:w="0" w:type="auto"/>
        <w:tblLook w:val="04A0" w:firstRow="1" w:lastRow="0" w:firstColumn="1" w:lastColumn="0" w:noHBand="0" w:noVBand="1"/>
      </w:tblPr>
      <w:tblGrid>
        <w:gridCol w:w="2028"/>
        <w:gridCol w:w="1611"/>
        <w:gridCol w:w="1523"/>
        <w:gridCol w:w="4466"/>
      </w:tblGrid>
      <w:tr w:rsidR="00841856" w14:paraId="0DE70836" w14:textId="77777777" w:rsidTr="000673C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5C2238DD" w14:textId="77777777" w:rsidR="00841856" w:rsidRDefault="00841856" w:rsidP="000673CB">
            <w:pPr>
              <w:pStyle w:val="BodyText"/>
              <w:rPr>
                <w:b w:val="0"/>
                <w:bCs w:val="0"/>
                <w:noProof/>
              </w:rPr>
            </w:pPr>
            <w:r>
              <w:rPr>
                <w:b w:val="0"/>
                <w:bCs w:val="0"/>
                <w:noProof/>
              </w:rPr>
              <w:t>Parameter</w:t>
            </w:r>
          </w:p>
        </w:tc>
        <w:tc>
          <w:tcPr>
            <w:tcW w:w="1417" w:type="dxa"/>
          </w:tcPr>
          <w:p w14:paraId="27EC5A77" w14:textId="77777777" w:rsidR="00841856" w:rsidRDefault="00841856" w:rsidP="000673CB">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31575B73" w14:textId="77777777" w:rsidR="00841856" w:rsidRDefault="00841856" w:rsidP="000673CB">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7F5C2AE8" w14:textId="77777777" w:rsidR="00841856" w:rsidRDefault="00841856" w:rsidP="000673CB">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41856" w14:paraId="34496B0A" w14:textId="77777777" w:rsidTr="000673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7332B1E4" w14:textId="77777777" w:rsidR="00841856" w:rsidRPr="00792A5F" w:rsidRDefault="00841856" w:rsidP="000673CB">
            <w:pPr>
              <w:pStyle w:val="BodyText"/>
              <w:rPr>
                <w:b w:val="0"/>
                <w:bCs w:val="0"/>
                <w:noProof/>
              </w:rPr>
            </w:pPr>
            <w:r>
              <w:rPr>
                <w:b w:val="0"/>
                <w:bCs w:val="0"/>
                <w:noProof/>
              </w:rPr>
              <w:t>identifier</w:t>
            </w:r>
          </w:p>
        </w:tc>
        <w:tc>
          <w:tcPr>
            <w:tcW w:w="1417" w:type="dxa"/>
          </w:tcPr>
          <w:p w14:paraId="7ADF7375" w14:textId="77777777" w:rsidR="00841856" w:rsidRPr="00792A5F" w:rsidRDefault="00841856" w:rsidP="000673CB">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URN</w:t>
            </w:r>
          </w:p>
        </w:tc>
        <w:tc>
          <w:tcPr>
            <w:tcW w:w="1560" w:type="dxa"/>
          </w:tcPr>
          <w:p w14:paraId="695D449D" w14:textId="77777777" w:rsidR="00841856" w:rsidRPr="00792A5F" w:rsidRDefault="00841856" w:rsidP="000673CB">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3A1E37A4" w14:textId="77777777" w:rsidR="00841856" w:rsidRPr="00792A5F" w:rsidRDefault="00841856" w:rsidP="000673CB">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An URN (MRN) identifying the consumer of the service.</w:t>
            </w:r>
          </w:p>
        </w:tc>
      </w:tr>
      <w:tr w:rsidR="00841856" w14:paraId="37B559CA" w14:textId="77777777" w:rsidTr="000673CB">
        <w:tc>
          <w:tcPr>
            <w:cnfStyle w:val="001000000000" w:firstRow="0" w:lastRow="0" w:firstColumn="1" w:lastColumn="0" w:oddVBand="0" w:evenVBand="0" w:oddHBand="0" w:evenHBand="0" w:firstRowFirstColumn="0" w:firstRowLastColumn="0" w:lastRowFirstColumn="0" w:lastRowLastColumn="0"/>
            <w:tcW w:w="2093" w:type="dxa"/>
          </w:tcPr>
          <w:p w14:paraId="7F9C3E03" w14:textId="77777777" w:rsidR="00841856" w:rsidRPr="00792A5F" w:rsidRDefault="00841856" w:rsidP="000673CB">
            <w:pPr>
              <w:pStyle w:val="BodyText"/>
              <w:rPr>
                <w:b w:val="0"/>
                <w:bCs w:val="0"/>
                <w:noProof/>
              </w:rPr>
            </w:pPr>
            <w:r>
              <w:rPr>
                <w:b w:val="0"/>
                <w:bCs w:val="0"/>
                <w:noProof/>
              </w:rPr>
              <w:t>sessionID</w:t>
            </w:r>
          </w:p>
        </w:tc>
        <w:tc>
          <w:tcPr>
            <w:tcW w:w="1417" w:type="dxa"/>
          </w:tcPr>
          <w:p w14:paraId="2804020F" w14:textId="77777777" w:rsidR="00841856" w:rsidRPr="00792A5F" w:rsidRDefault="00841856" w:rsidP="000673CB">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3CCFD4CA" w14:textId="77777777" w:rsidR="00841856" w:rsidRPr="00792A5F" w:rsidRDefault="00841856" w:rsidP="000673CB">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0C230CF9" w14:textId="77777777" w:rsidR="00841856" w:rsidRPr="00792A5F" w:rsidRDefault="00841856" w:rsidP="000673CB">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An ID to identify the new session.</w:t>
            </w:r>
          </w:p>
        </w:tc>
      </w:tr>
    </w:tbl>
    <w:p w14:paraId="01A07E0C" w14:textId="77777777" w:rsidR="00841856" w:rsidRDefault="00841856" w:rsidP="000C6404">
      <w:pPr>
        <w:pStyle w:val="BodyText"/>
        <w:rPr>
          <w:rStyle w:val="IntenseEmphasis"/>
          <w:i w:val="0"/>
          <w:iCs w:val="0"/>
          <w:color w:val="auto"/>
        </w:rPr>
      </w:pPr>
    </w:p>
    <w:p w14:paraId="272DDCB3" w14:textId="6AE111F8" w:rsidR="000131AC" w:rsidRDefault="000131AC" w:rsidP="000C6404">
      <w:pPr>
        <w:pStyle w:val="BodyText"/>
        <w:rPr>
          <w:b/>
          <w:bCs/>
          <w:noProof/>
        </w:rPr>
      </w:pPr>
      <w:r>
        <w:rPr>
          <w:b/>
          <w:bCs/>
          <w:noProof/>
        </w:rPr>
        <w:t xml:space="preserve">OPERATION </w:t>
      </w:r>
      <w:r w:rsidRPr="000131AC">
        <w:rPr>
          <w:b/>
          <w:bCs/>
          <w:noProof/>
        </w:rPr>
        <w:t>KeepAlive</w:t>
      </w:r>
    </w:p>
    <w:p w14:paraId="17D7012C" w14:textId="3E419CE9" w:rsidR="000131AC" w:rsidRPr="00792A5F" w:rsidRDefault="000131AC" w:rsidP="00792A5F">
      <w:pPr>
        <w:pStyle w:val="BodyText"/>
      </w:pPr>
    </w:p>
    <w:p w14:paraId="44F6DC9C" w14:textId="64D0627B" w:rsidR="00792A5F" w:rsidRDefault="000131AC" w:rsidP="00792A5F">
      <w:pPr>
        <w:pStyle w:val="BodyText"/>
        <w:jc w:val="center"/>
        <w:rPr>
          <w:noProof/>
        </w:rPr>
      </w:pPr>
      <w:r>
        <w:rPr>
          <w:noProof/>
        </w:rPr>
        <w:drawing>
          <wp:inline distT="0" distB="0" distL="0" distR="0" wp14:anchorId="5B3B02B7" wp14:editId="149E87C3">
            <wp:extent cx="2701722" cy="1099820"/>
            <wp:effectExtent l="0" t="0" r="3810" b="5080"/>
            <wp:docPr id="14" name="Grafik 14"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14"/>
                    <a:srcRect l="7769" t="10198" r="48074" b="69318"/>
                    <a:stretch/>
                  </pic:blipFill>
                  <pic:spPr bwMode="auto">
                    <a:xfrm>
                      <a:off x="0" y="0"/>
                      <a:ext cx="2702501" cy="1100137"/>
                    </a:xfrm>
                    <a:prstGeom prst="rect">
                      <a:avLst/>
                    </a:prstGeom>
                    <a:ln>
                      <a:noFill/>
                    </a:ln>
                    <a:extLst>
                      <a:ext uri="{53640926-AAD7-44D8-BBD7-CCE9431645EC}">
                        <a14:shadowObscured xmlns:a14="http://schemas.microsoft.com/office/drawing/2010/main"/>
                      </a:ext>
                    </a:extLst>
                  </pic:spPr>
                </pic:pic>
              </a:graphicData>
            </a:graphic>
          </wp:inline>
        </w:drawing>
      </w:r>
    </w:p>
    <w:p w14:paraId="295EF2B5" w14:textId="43112E0B" w:rsidR="00792A5F" w:rsidRDefault="00792A5F" w:rsidP="00792A5F">
      <w:pPr>
        <w:pStyle w:val="BodyText"/>
        <w:rPr>
          <w:noProof/>
        </w:rPr>
      </w:pPr>
      <w:r w:rsidRPr="00792A5F">
        <w:rPr>
          <w:b/>
          <w:bCs/>
          <w:noProof/>
        </w:rPr>
        <w:t>OPERATION FUNCTIONALITY</w:t>
      </w:r>
      <w:r>
        <w:rPr>
          <w:noProof/>
        </w:rPr>
        <w:t>: Keeps the current session alive. The service session time-out is reset.</w:t>
      </w:r>
    </w:p>
    <w:p w14:paraId="237214CA" w14:textId="690672D4" w:rsidR="00792A5F" w:rsidRDefault="00792A5F" w:rsidP="00792A5F">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28"/>
        <w:gridCol w:w="1611"/>
        <w:gridCol w:w="1523"/>
        <w:gridCol w:w="4466"/>
      </w:tblGrid>
      <w:tr w:rsidR="00792A5F" w14:paraId="1346D49E" w14:textId="77777777" w:rsidTr="00792A5F">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760F64F7" w14:textId="6F7FFA46" w:rsidR="00792A5F" w:rsidRDefault="00792A5F" w:rsidP="00792A5F">
            <w:pPr>
              <w:pStyle w:val="BodyText"/>
              <w:rPr>
                <w:b w:val="0"/>
                <w:bCs w:val="0"/>
                <w:noProof/>
              </w:rPr>
            </w:pPr>
            <w:r>
              <w:rPr>
                <w:b w:val="0"/>
                <w:bCs w:val="0"/>
                <w:noProof/>
              </w:rPr>
              <w:t>Parameter</w:t>
            </w:r>
          </w:p>
        </w:tc>
        <w:tc>
          <w:tcPr>
            <w:tcW w:w="1417" w:type="dxa"/>
          </w:tcPr>
          <w:p w14:paraId="47A1614C" w14:textId="138EE133" w:rsidR="00792A5F" w:rsidRDefault="00792A5F" w:rsidP="00792A5F">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151E8D55" w14:textId="7511EC2B" w:rsidR="00792A5F" w:rsidRDefault="00792A5F" w:rsidP="00792A5F">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5020BEDC" w14:textId="70F39DC2" w:rsidR="00792A5F" w:rsidRDefault="00792A5F" w:rsidP="00792A5F">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792A5F" w14:paraId="052DAE48" w14:textId="77777777" w:rsidTr="00792A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1F576AF2" w14:textId="36D714AB" w:rsidR="00792A5F" w:rsidRPr="00792A5F" w:rsidRDefault="00792A5F" w:rsidP="00792A5F">
            <w:pPr>
              <w:pStyle w:val="BodyText"/>
              <w:rPr>
                <w:b w:val="0"/>
                <w:bCs w:val="0"/>
                <w:noProof/>
              </w:rPr>
            </w:pPr>
            <w:r w:rsidRPr="00792A5F">
              <w:rPr>
                <w:b w:val="0"/>
                <w:bCs w:val="0"/>
                <w:noProof/>
              </w:rPr>
              <w:t>sessionID</w:t>
            </w:r>
          </w:p>
        </w:tc>
        <w:tc>
          <w:tcPr>
            <w:tcW w:w="1417" w:type="dxa"/>
          </w:tcPr>
          <w:p w14:paraId="77AE8C92" w14:textId="407C0F95" w:rsidR="00792A5F" w:rsidRPr="00792A5F" w:rsidRDefault="00792A5F" w:rsidP="00792A5F">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7E53A1E4" w14:textId="2772FD63" w:rsidR="00792A5F" w:rsidRPr="00792A5F" w:rsidRDefault="00792A5F" w:rsidP="00792A5F">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6976948C" w14:textId="64A19619" w:rsidR="00792A5F" w:rsidRPr="00792A5F" w:rsidRDefault="00792A5F" w:rsidP="00792A5F">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792A5F" w14:paraId="546B0BC6" w14:textId="77777777" w:rsidTr="00792A5F">
        <w:tc>
          <w:tcPr>
            <w:cnfStyle w:val="001000000000" w:firstRow="0" w:lastRow="0" w:firstColumn="1" w:lastColumn="0" w:oddVBand="0" w:evenVBand="0" w:oddHBand="0" w:evenHBand="0" w:firstRowFirstColumn="0" w:firstRowLastColumn="0" w:lastRowFirstColumn="0" w:lastRowLastColumn="0"/>
            <w:tcW w:w="2093" w:type="dxa"/>
          </w:tcPr>
          <w:p w14:paraId="4483B774" w14:textId="39029453" w:rsidR="00792A5F" w:rsidRPr="00792A5F" w:rsidRDefault="00792A5F" w:rsidP="00792A5F">
            <w:pPr>
              <w:pStyle w:val="BodyText"/>
              <w:rPr>
                <w:b w:val="0"/>
                <w:bCs w:val="0"/>
                <w:noProof/>
              </w:rPr>
            </w:pPr>
            <w:r>
              <w:rPr>
                <w:b w:val="0"/>
                <w:bCs w:val="0"/>
                <w:noProof/>
              </w:rPr>
              <w:t>sessionID</w:t>
            </w:r>
          </w:p>
        </w:tc>
        <w:tc>
          <w:tcPr>
            <w:tcW w:w="1417" w:type="dxa"/>
          </w:tcPr>
          <w:p w14:paraId="0C21B8EE" w14:textId="0BA9A235" w:rsidR="00792A5F" w:rsidRPr="00792A5F" w:rsidRDefault="00792A5F" w:rsidP="00792A5F">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04C0497F" w14:textId="083C992A" w:rsidR="00792A5F" w:rsidRPr="00792A5F" w:rsidRDefault="00792A5F" w:rsidP="00792A5F">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5FD0481B" w14:textId="6BF1E017" w:rsidR="00792A5F" w:rsidRPr="00792A5F" w:rsidRDefault="00792A5F" w:rsidP="00792A5F">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bl>
    <w:p w14:paraId="37702481" w14:textId="392EB4BD" w:rsidR="00792A5F" w:rsidRDefault="00792A5F" w:rsidP="00792A5F">
      <w:pPr>
        <w:pStyle w:val="BodyText"/>
        <w:rPr>
          <w:b/>
          <w:bCs/>
          <w:noProof/>
        </w:rPr>
      </w:pPr>
    </w:p>
    <w:p w14:paraId="58313FB3" w14:textId="68ECD26A" w:rsidR="00792A5F" w:rsidRDefault="00792A5F" w:rsidP="00792A5F">
      <w:pPr>
        <w:pStyle w:val="BodyText"/>
        <w:rPr>
          <w:noProof/>
        </w:rPr>
      </w:pPr>
      <w:r>
        <w:rPr>
          <w:b/>
          <w:bCs/>
          <w:noProof/>
        </w:rPr>
        <w:t>OPERATION EndSession</w:t>
      </w:r>
    </w:p>
    <w:p w14:paraId="05776F04" w14:textId="60512092" w:rsidR="000131AC" w:rsidRDefault="000131AC" w:rsidP="00792A5F">
      <w:pPr>
        <w:pStyle w:val="BodyText"/>
        <w:jc w:val="center"/>
        <w:rPr>
          <w:noProof/>
        </w:rPr>
      </w:pPr>
      <w:r>
        <w:rPr>
          <w:noProof/>
        </w:rPr>
        <w:drawing>
          <wp:inline distT="0" distB="0" distL="0" distR="0" wp14:anchorId="6B70E60B" wp14:editId="6B77B6F1">
            <wp:extent cx="2724704" cy="1072384"/>
            <wp:effectExtent l="0" t="0" r="0" b="0"/>
            <wp:docPr id="15" name="Grafik 15"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14"/>
                    <a:srcRect l="7548" t="35821" r="47911" b="44203"/>
                    <a:stretch/>
                  </pic:blipFill>
                  <pic:spPr bwMode="auto">
                    <a:xfrm>
                      <a:off x="0" y="0"/>
                      <a:ext cx="2726003" cy="1072895"/>
                    </a:xfrm>
                    <a:prstGeom prst="rect">
                      <a:avLst/>
                    </a:prstGeom>
                    <a:ln>
                      <a:noFill/>
                    </a:ln>
                    <a:extLst>
                      <a:ext uri="{53640926-AAD7-44D8-BBD7-CCE9431645EC}">
                        <a14:shadowObscured xmlns:a14="http://schemas.microsoft.com/office/drawing/2010/main"/>
                      </a:ext>
                    </a:extLst>
                  </pic:spPr>
                </pic:pic>
              </a:graphicData>
            </a:graphic>
          </wp:inline>
        </w:drawing>
      </w:r>
    </w:p>
    <w:p w14:paraId="235B68BE" w14:textId="69589B57" w:rsidR="00792A5F" w:rsidRDefault="00792A5F" w:rsidP="00792A5F">
      <w:pPr>
        <w:pStyle w:val="BodyText"/>
        <w:rPr>
          <w:noProof/>
        </w:rPr>
      </w:pPr>
      <w:r w:rsidRPr="00841856">
        <w:rPr>
          <w:b/>
          <w:bCs/>
          <w:noProof/>
        </w:rPr>
        <w:t>OPERATION FUNCTIONALITY</w:t>
      </w:r>
      <w:r>
        <w:rPr>
          <w:noProof/>
        </w:rPr>
        <w:t>: Ends the current session.</w:t>
      </w:r>
    </w:p>
    <w:p w14:paraId="127FC259" w14:textId="77777777" w:rsidR="00841856" w:rsidRDefault="00841856" w:rsidP="00841856">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28"/>
        <w:gridCol w:w="1611"/>
        <w:gridCol w:w="1523"/>
        <w:gridCol w:w="4466"/>
      </w:tblGrid>
      <w:tr w:rsidR="00841856" w14:paraId="71FE0347" w14:textId="77777777" w:rsidTr="0084185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71" w:type="dxa"/>
          </w:tcPr>
          <w:p w14:paraId="7FDA7BE9" w14:textId="77777777" w:rsidR="00841856" w:rsidRDefault="00841856" w:rsidP="000673CB">
            <w:pPr>
              <w:pStyle w:val="BodyText"/>
              <w:rPr>
                <w:b w:val="0"/>
                <w:bCs w:val="0"/>
                <w:noProof/>
              </w:rPr>
            </w:pPr>
            <w:r>
              <w:rPr>
                <w:b w:val="0"/>
                <w:bCs w:val="0"/>
                <w:noProof/>
              </w:rPr>
              <w:lastRenderedPageBreak/>
              <w:t>Parameter</w:t>
            </w:r>
          </w:p>
        </w:tc>
        <w:tc>
          <w:tcPr>
            <w:tcW w:w="1611" w:type="dxa"/>
          </w:tcPr>
          <w:p w14:paraId="7BD0A17C" w14:textId="77777777" w:rsidR="00841856" w:rsidRDefault="00841856" w:rsidP="000673CB">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47" w:type="dxa"/>
          </w:tcPr>
          <w:p w14:paraId="0DD01E64" w14:textId="77777777" w:rsidR="00841856" w:rsidRDefault="00841856" w:rsidP="000673CB">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625" w:type="dxa"/>
          </w:tcPr>
          <w:p w14:paraId="042A9E0D" w14:textId="77777777" w:rsidR="00841856" w:rsidRDefault="00841856" w:rsidP="000673CB">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41856" w14:paraId="0FEFEAA2" w14:textId="77777777" w:rsidTr="008418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1" w:type="dxa"/>
          </w:tcPr>
          <w:p w14:paraId="38D0C197" w14:textId="77777777" w:rsidR="00841856" w:rsidRPr="00792A5F" w:rsidRDefault="00841856" w:rsidP="000673CB">
            <w:pPr>
              <w:pStyle w:val="BodyText"/>
              <w:rPr>
                <w:b w:val="0"/>
                <w:bCs w:val="0"/>
                <w:noProof/>
              </w:rPr>
            </w:pPr>
            <w:r w:rsidRPr="00792A5F">
              <w:rPr>
                <w:b w:val="0"/>
                <w:bCs w:val="0"/>
                <w:noProof/>
              </w:rPr>
              <w:t>sessionID</w:t>
            </w:r>
          </w:p>
        </w:tc>
        <w:tc>
          <w:tcPr>
            <w:tcW w:w="1611" w:type="dxa"/>
          </w:tcPr>
          <w:p w14:paraId="3B9F8F01" w14:textId="77777777" w:rsidR="00841856" w:rsidRPr="00792A5F" w:rsidRDefault="00841856" w:rsidP="000673CB">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47" w:type="dxa"/>
          </w:tcPr>
          <w:p w14:paraId="733DE856" w14:textId="77777777" w:rsidR="00841856" w:rsidRPr="00792A5F" w:rsidRDefault="00841856" w:rsidP="000673CB">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625" w:type="dxa"/>
          </w:tcPr>
          <w:p w14:paraId="29071651" w14:textId="77777777" w:rsidR="00841856" w:rsidRPr="00792A5F" w:rsidRDefault="00841856" w:rsidP="000673CB">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bl>
    <w:p w14:paraId="25EC3F36" w14:textId="6A0D293A" w:rsidR="00841856" w:rsidRDefault="00841856" w:rsidP="00792A5F">
      <w:pPr>
        <w:pStyle w:val="BodyText"/>
        <w:rPr>
          <w:noProof/>
        </w:rPr>
      </w:pPr>
    </w:p>
    <w:p w14:paraId="15F372D6" w14:textId="37892A46" w:rsidR="00841856" w:rsidRDefault="00841856" w:rsidP="00792A5F">
      <w:pPr>
        <w:pStyle w:val="BodyText"/>
        <w:rPr>
          <w:noProof/>
        </w:rPr>
      </w:pPr>
    </w:p>
    <w:p w14:paraId="2427918E" w14:textId="4EB6031A" w:rsidR="00841856" w:rsidRPr="00841856" w:rsidRDefault="00841856" w:rsidP="00792A5F">
      <w:pPr>
        <w:pStyle w:val="BodyText"/>
        <w:rPr>
          <w:rStyle w:val="IntenseEmphasis"/>
        </w:rPr>
      </w:pPr>
      <w:r w:rsidRPr="00841856">
        <w:rPr>
          <w:rStyle w:val="IntenseEmphasis"/>
        </w:rPr>
        <w:t xml:space="preserve">SERVICE INTERFACE </w:t>
      </w:r>
      <w:proofErr w:type="spellStart"/>
      <w:r w:rsidRPr="00841856">
        <w:rPr>
          <w:rStyle w:val="IntenseEmphasis"/>
        </w:rPr>
        <w:t>NavigationalWarningInterface</w:t>
      </w:r>
      <w:proofErr w:type="spellEnd"/>
    </w:p>
    <w:p w14:paraId="37A1E532" w14:textId="18A53808" w:rsidR="00841856" w:rsidRDefault="00841856" w:rsidP="00792A5F">
      <w:pPr>
        <w:pStyle w:val="BodyText"/>
        <w:rPr>
          <w:noProof/>
        </w:rPr>
      </w:pPr>
      <w:r>
        <w:rPr>
          <w:noProof/>
        </w:rPr>
        <w:t>The NavigationalWarningInterface provides the core functionality of this service. Consumers can request a list of Navigational warnings or subscribe to navigational warning updates. An operation for obtaining MetaData is also available.</w:t>
      </w:r>
    </w:p>
    <w:p w14:paraId="279FB9EA" w14:textId="19BA0445" w:rsidR="00841856" w:rsidRPr="00520765" w:rsidRDefault="00841856" w:rsidP="00841856">
      <w:pPr>
        <w:pStyle w:val="BodyText"/>
        <w:rPr>
          <w:b/>
        </w:rPr>
      </w:pPr>
      <w:r w:rsidRPr="00520765">
        <w:rPr>
          <w:b/>
          <w:noProof/>
        </w:rPr>
        <w:t>OPERATION Get_NW_Messages</w:t>
      </w:r>
    </w:p>
    <w:p w14:paraId="16B02944" w14:textId="1042952C" w:rsidR="000131AC" w:rsidRDefault="000131AC" w:rsidP="00841856">
      <w:pPr>
        <w:pStyle w:val="BodyText"/>
        <w:jc w:val="center"/>
        <w:rPr>
          <w:noProof/>
        </w:rPr>
      </w:pPr>
      <w:r>
        <w:rPr>
          <w:noProof/>
        </w:rPr>
        <w:drawing>
          <wp:inline distT="0" distB="0" distL="0" distR="0" wp14:anchorId="6277DA7B" wp14:editId="0EA1AC8A">
            <wp:extent cx="2398265" cy="1534059"/>
            <wp:effectExtent l="0" t="0" r="2540" b="9525"/>
            <wp:docPr id="20" name="Grafik 20"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14"/>
                    <a:srcRect l="56435" t="760" r="4356" b="70661"/>
                    <a:stretch/>
                  </pic:blipFill>
                  <pic:spPr bwMode="auto">
                    <a:xfrm>
                      <a:off x="0" y="0"/>
                      <a:ext cx="2399620" cy="1534926"/>
                    </a:xfrm>
                    <a:prstGeom prst="rect">
                      <a:avLst/>
                    </a:prstGeom>
                    <a:ln>
                      <a:noFill/>
                    </a:ln>
                    <a:extLst>
                      <a:ext uri="{53640926-AAD7-44D8-BBD7-CCE9431645EC}">
                        <a14:shadowObscured xmlns:a14="http://schemas.microsoft.com/office/drawing/2010/main"/>
                      </a:ext>
                    </a:extLst>
                  </pic:spPr>
                </pic:pic>
              </a:graphicData>
            </a:graphic>
          </wp:inline>
        </w:drawing>
      </w:r>
    </w:p>
    <w:p w14:paraId="6561851C" w14:textId="278A7D26" w:rsidR="00520765" w:rsidRDefault="00520765" w:rsidP="00520765">
      <w:pPr>
        <w:pStyle w:val="BodyText"/>
        <w:rPr>
          <w:noProof/>
        </w:rPr>
      </w:pPr>
      <w:r w:rsidRPr="00520765">
        <w:rPr>
          <w:b/>
          <w:noProof/>
        </w:rPr>
        <w:t>OPERATION FUNCTIONALITY</w:t>
      </w:r>
      <w:r>
        <w:rPr>
          <w:noProof/>
        </w:rPr>
        <w:t>: Returns a list of navigational warnings for a specified area.</w:t>
      </w:r>
    </w:p>
    <w:p w14:paraId="06EFEF67" w14:textId="6500BA95" w:rsidR="00520765" w:rsidRDefault="00520765" w:rsidP="00520765">
      <w:pPr>
        <w:pStyle w:val="BodyText"/>
        <w:rPr>
          <w:noProof/>
        </w:rPr>
      </w:pPr>
      <w:r w:rsidRPr="00520765">
        <w:rPr>
          <w:b/>
          <w:noProof/>
        </w:rPr>
        <w:t>OPERATION PARAMETERS</w:t>
      </w:r>
      <w:r>
        <w:rPr>
          <w:noProof/>
        </w:rPr>
        <w:t>:</w:t>
      </w:r>
    </w:p>
    <w:tbl>
      <w:tblPr>
        <w:tblStyle w:val="ListTable3-Accent3"/>
        <w:tblW w:w="0" w:type="auto"/>
        <w:tblLook w:val="04A0" w:firstRow="1" w:lastRow="0" w:firstColumn="1" w:lastColumn="0" w:noHBand="0" w:noVBand="1"/>
      </w:tblPr>
      <w:tblGrid>
        <w:gridCol w:w="2073"/>
        <w:gridCol w:w="1611"/>
        <w:gridCol w:w="1521"/>
        <w:gridCol w:w="4423"/>
      </w:tblGrid>
      <w:tr w:rsidR="00520765" w14:paraId="77483587" w14:textId="77777777" w:rsidTr="000673C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4FE9B7F8" w14:textId="77777777" w:rsidR="00520765" w:rsidRDefault="00520765" w:rsidP="000673CB">
            <w:pPr>
              <w:pStyle w:val="BodyText"/>
              <w:rPr>
                <w:b w:val="0"/>
                <w:bCs w:val="0"/>
                <w:noProof/>
              </w:rPr>
            </w:pPr>
            <w:r>
              <w:rPr>
                <w:b w:val="0"/>
                <w:bCs w:val="0"/>
                <w:noProof/>
              </w:rPr>
              <w:t>Parameter</w:t>
            </w:r>
          </w:p>
        </w:tc>
        <w:tc>
          <w:tcPr>
            <w:tcW w:w="1417" w:type="dxa"/>
          </w:tcPr>
          <w:p w14:paraId="544375CA" w14:textId="77777777" w:rsidR="00520765" w:rsidRDefault="00520765" w:rsidP="000673CB">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3B0AB846" w14:textId="77777777" w:rsidR="00520765" w:rsidRDefault="00520765" w:rsidP="000673CB">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254C32DE" w14:textId="77777777" w:rsidR="00520765" w:rsidRDefault="00520765" w:rsidP="000673CB">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520765" w14:paraId="58B50DAD" w14:textId="77777777" w:rsidTr="000673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283A75CE" w14:textId="543AF09B" w:rsidR="00520765" w:rsidRPr="00792A5F" w:rsidRDefault="00520765" w:rsidP="000673CB">
            <w:pPr>
              <w:pStyle w:val="BodyText"/>
              <w:rPr>
                <w:b w:val="0"/>
                <w:bCs w:val="0"/>
                <w:noProof/>
              </w:rPr>
            </w:pPr>
            <w:r>
              <w:rPr>
                <w:b w:val="0"/>
                <w:bCs w:val="0"/>
                <w:noProof/>
              </w:rPr>
              <w:t>areaDataset</w:t>
            </w:r>
          </w:p>
        </w:tc>
        <w:tc>
          <w:tcPr>
            <w:tcW w:w="1417" w:type="dxa"/>
          </w:tcPr>
          <w:p w14:paraId="65C619C1" w14:textId="290BA440" w:rsidR="00520765" w:rsidRPr="00792A5F" w:rsidRDefault="00520765" w:rsidP="000673CB">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WKT</w:t>
            </w:r>
          </w:p>
        </w:tc>
        <w:tc>
          <w:tcPr>
            <w:tcW w:w="1560" w:type="dxa"/>
          </w:tcPr>
          <w:p w14:paraId="7BD6EA9C" w14:textId="77777777" w:rsidR="00520765" w:rsidRPr="00792A5F" w:rsidRDefault="00520765" w:rsidP="000673CB">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7EF35948" w14:textId="52DC4C9F" w:rsidR="00520765" w:rsidRPr="00792A5F" w:rsidRDefault="00520765" w:rsidP="000673CB">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The requested area for navigational warnings.</w:t>
            </w:r>
          </w:p>
        </w:tc>
      </w:tr>
      <w:tr w:rsidR="00520765" w14:paraId="74F4B69F" w14:textId="77777777" w:rsidTr="000673CB">
        <w:tc>
          <w:tcPr>
            <w:cnfStyle w:val="001000000000" w:firstRow="0" w:lastRow="0" w:firstColumn="1" w:lastColumn="0" w:oddVBand="0" w:evenVBand="0" w:oddHBand="0" w:evenHBand="0" w:firstRowFirstColumn="0" w:firstRowLastColumn="0" w:lastRowFirstColumn="0" w:lastRowLastColumn="0"/>
            <w:tcW w:w="2093" w:type="dxa"/>
          </w:tcPr>
          <w:p w14:paraId="34DA7CB1" w14:textId="1B650394" w:rsidR="00520765" w:rsidRPr="00792A5F" w:rsidRDefault="00520765" w:rsidP="000673CB">
            <w:pPr>
              <w:pStyle w:val="BodyText"/>
              <w:rPr>
                <w:b w:val="0"/>
                <w:bCs w:val="0"/>
                <w:noProof/>
              </w:rPr>
            </w:pPr>
            <w:r>
              <w:rPr>
                <w:b w:val="0"/>
                <w:bCs w:val="0"/>
                <w:noProof/>
              </w:rPr>
              <w:t>sessionID</w:t>
            </w:r>
          </w:p>
        </w:tc>
        <w:tc>
          <w:tcPr>
            <w:tcW w:w="1417" w:type="dxa"/>
          </w:tcPr>
          <w:p w14:paraId="3CEE59C8" w14:textId="77777777" w:rsidR="00520765" w:rsidRPr="00792A5F" w:rsidRDefault="00520765" w:rsidP="000673CB">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1EF73270" w14:textId="69A2F684" w:rsidR="00520765" w:rsidRPr="00792A5F" w:rsidRDefault="00520765" w:rsidP="000673CB">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 (optional)</w:t>
            </w:r>
          </w:p>
        </w:tc>
        <w:tc>
          <w:tcPr>
            <w:tcW w:w="4708" w:type="dxa"/>
          </w:tcPr>
          <w:p w14:paraId="0C56B1EE" w14:textId="19AEB87F" w:rsidR="00520765" w:rsidRPr="00792A5F" w:rsidRDefault="00520765" w:rsidP="000673CB">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r w:rsidR="00520765" w14:paraId="46AA8539" w14:textId="77777777" w:rsidTr="000673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51EED47D" w14:textId="053E5280" w:rsidR="00520765" w:rsidRDefault="00520765" w:rsidP="000673CB">
            <w:pPr>
              <w:pStyle w:val="BodyText"/>
              <w:rPr>
                <w:b w:val="0"/>
                <w:bCs w:val="0"/>
                <w:noProof/>
              </w:rPr>
            </w:pPr>
            <w:r>
              <w:rPr>
                <w:b w:val="0"/>
                <w:bCs w:val="0"/>
                <w:noProof/>
              </w:rPr>
              <w:t>nw_nm_messages</w:t>
            </w:r>
          </w:p>
        </w:tc>
        <w:tc>
          <w:tcPr>
            <w:tcW w:w="1417" w:type="dxa"/>
          </w:tcPr>
          <w:p w14:paraId="525AA35D" w14:textId="4957B054" w:rsidR="00520765" w:rsidRDefault="00520765" w:rsidP="000673CB">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7A3A0C76" w14:textId="0DC8314F" w:rsidR="00520765" w:rsidRDefault="00520765" w:rsidP="000673CB">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1FFCF75E" w14:textId="24F94F32" w:rsidR="00520765" w:rsidRDefault="00520765" w:rsidP="000673CB">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A S-124 Dataset with navigational warning, encoded in gml.</w:t>
            </w:r>
          </w:p>
        </w:tc>
      </w:tr>
    </w:tbl>
    <w:p w14:paraId="6802D672" w14:textId="4BD05F7B" w:rsidR="00520765" w:rsidRDefault="00520765" w:rsidP="00520765">
      <w:pPr>
        <w:pStyle w:val="BodyText"/>
        <w:rPr>
          <w:noProof/>
        </w:rPr>
      </w:pPr>
    </w:p>
    <w:p w14:paraId="55C0DE4F" w14:textId="14405386" w:rsidR="00520765" w:rsidRPr="00520765" w:rsidRDefault="00520765" w:rsidP="00520765">
      <w:pPr>
        <w:pStyle w:val="BodyText"/>
        <w:rPr>
          <w:b/>
        </w:rPr>
      </w:pPr>
      <w:r w:rsidRPr="00520765">
        <w:rPr>
          <w:b/>
          <w:noProof/>
        </w:rPr>
        <w:t xml:space="preserve">OPERATION </w:t>
      </w:r>
      <w:r>
        <w:rPr>
          <w:b/>
          <w:noProof/>
        </w:rPr>
        <w:t>Subscribe</w:t>
      </w:r>
      <w:r w:rsidRPr="00520765">
        <w:rPr>
          <w:b/>
          <w:noProof/>
        </w:rPr>
        <w:t>_NW_Messages</w:t>
      </w:r>
    </w:p>
    <w:p w14:paraId="631D722F" w14:textId="093D1F42" w:rsidR="00520765" w:rsidRDefault="00520765" w:rsidP="00520765">
      <w:pPr>
        <w:pStyle w:val="BodyText"/>
        <w:jc w:val="center"/>
        <w:rPr>
          <w:noProof/>
        </w:rPr>
      </w:pPr>
      <w:r>
        <w:rPr>
          <w:noProof/>
        </w:rPr>
        <w:drawing>
          <wp:inline distT="0" distB="0" distL="0" distR="0" wp14:anchorId="08E4D36A" wp14:editId="4D8F31F8">
            <wp:extent cx="2516353" cy="1575303"/>
            <wp:effectExtent l="0" t="0" r="0" b="6350"/>
            <wp:docPr id="13" name="Grafik 13"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14"/>
                    <a:srcRect l="55326" t="68102" r="3543" b="2557"/>
                    <a:stretch/>
                  </pic:blipFill>
                  <pic:spPr bwMode="auto">
                    <a:xfrm>
                      <a:off x="0" y="0"/>
                      <a:ext cx="2517286" cy="1575887"/>
                    </a:xfrm>
                    <a:prstGeom prst="rect">
                      <a:avLst/>
                    </a:prstGeom>
                    <a:ln>
                      <a:noFill/>
                    </a:ln>
                    <a:extLst>
                      <a:ext uri="{53640926-AAD7-44D8-BBD7-CCE9431645EC}">
                        <a14:shadowObscured xmlns:a14="http://schemas.microsoft.com/office/drawing/2010/main"/>
                      </a:ext>
                    </a:extLst>
                  </pic:spPr>
                </pic:pic>
              </a:graphicData>
            </a:graphic>
          </wp:inline>
        </w:drawing>
      </w:r>
    </w:p>
    <w:p w14:paraId="7BB26E15" w14:textId="1F7E8133" w:rsidR="00520765" w:rsidRDefault="00520765" w:rsidP="00520765">
      <w:pPr>
        <w:pStyle w:val="BodyText"/>
        <w:rPr>
          <w:noProof/>
        </w:rPr>
      </w:pPr>
      <w:r w:rsidRPr="00520765">
        <w:rPr>
          <w:b/>
          <w:noProof/>
        </w:rPr>
        <w:t>OPERATION FUNCTIONALITY</w:t>
      </w:r>
      <w:r>
        <w:rPr>
          <w:noProof/>
        </w:rPr>
        <w:t>: Subscription to updates on navigational warnings.</w:t>
      </w:r>
    </w:p>
    <w:p w14:paraId="073602E2" w14:textId="77777777" w:rsidR="00520765" w:rsidRDefault="00520765" w:rsidP="00520765">
      <w:pPr>
        <w:pStyle w:val="BodyText"/>
        <w:rPr>
          <w:noProof/>
        </w:rPr>
      </w:pPr>
      <w:r w:rsidRPr="00520765">
        <w:rPr>
          <w:b/>
          <w:noProof/>
        </w:rPr>
        <w:t>OPERATION PARAMETERS</w:t>
      </w:r>
      <w:r>
        <w:rPr>
          <w:noProof/>
        </w:rPr>
        <w:t>:</w:t>
      </w:r>
    </w:p>
    <w:tbl>
      <w:tblPr>
        <w:tblStyle w:val="ListTable3-Accent3"/>
        <w:tblW w:w="0" w:type="auto"/>
        <w:tblLook w:val="04A0" w:firstRow="1" w:lastRow="0" w:firstColumn="1" w:lastColumn="0" w:noHBand="0" w:noVBand="1"/>
      </w:tblPr>
      <w:tblGrid>
        <w:gridCol w:w="2073"/>
        <w:gridCol w:w="1611"/>
        <w:gridCol w:w="1521"/>
        <w:gridCol w:w="4423"/>
      </w:tblGrid>
      <w:tr w:rsidR="00520765" w14:paraId="26E9ABF6" w14:textId="77777777" w:rsidTr="000673C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3E195744" w14:textId="77777777" w:rsidR="00520765" w:rsidRDefault="00520765" w:rsidP="000673CB">
            <w:pPr>
              <w:pStyle w:val="BodyText"/>
              <w:rPr>
                <w:b w:val="0"/>
                <w:bCs w:val="0"/>
                <w:noProof/>
              </w:rPr>
            </w:pPr>
            <w:r>
              <w:rPr>
                <w:b w:val="0"/>
                <w:bCs w:val="0"/>
                <w:noProof/>
              </w:rPr>
              <w:t>Parameter</w:t>
            </w:r>
          </w:p>
        </w:tc>
        <w:tc>
          <w:tcPr>
            <w:tcW w:w="1417" w:type="dxa"/>
          </w:tcPr>
          <w:p w14:paraId="6D35AA43" w14:textId="77777777" w:rsidR="00520765" w:rsidRDefault="00520765" w:rsidP="000673CB">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3ED1AF05" w14:textId="77777777" w:rsidR="00520765" w:rsidRDefault="00520765" w:rsidP="000673CB">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0D343533" w14:textId="77777777" w:rsidR="00520765" w:rsidRDefault="00520765" w:rsidP="000673CB">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520765" w14:paraId="1946558B" w14:textId="77777777" w:rsidTr="000673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6D76CC50" w14:textId="77777777" w:rsidR="00520765" w:rsidRPr="00792A5F" w:rsidRDefault="00520765" w:rsidP="000673CB">
            <w:pPr>
              <w:pStyle w:val="BodyText"/>
              <w:rPr>
                <w:b w:val="0"/>
                <w:bCs w:val="0"/>
                <w:noProof/>
              </w:rPr>
            </w:pPr>
            <w:r>
              <w:rPr>
                <w:b w:val="0"/>
                <w:bCs w:val="0"/>
                <w:noProof/>
              </w:rPr>
              <w:t>areaDataset</w:t>
            </w:r>
          </w:p>
        </w:tc>
        <w:tc>
          <w:tcPr>
            <w:tcW w:w="1417" w:type="dxa"/>
          </w:tcPr>
          <w:p w14:paraId="01891200" w14:textId="77777777" w:rsidR="00520765" w:rsidRPr="00792A5F" w:rsidRDefault="00520765" w:rsidP="000673CB">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WKT</w:t>
            </w:r>
          </w:p>
        </w:tc>
        <w:tc>
          <w:tcPr>
            <w:tcW w:w="1560" w:type="dxa"/>
          </w:tcPr>
          <w:p w14:paraId="02844413" w14:textId="77777777" w:rsidR="00520765" w:rsidRPr="00792A5F" w:rsidRDefault="00520765" w:rsidP="000673CB">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2734379D" w14:textId="77777777" w:rsidR="00520765" w:rsidRPr="00792A5F" w:rsidRDefault="00520765" w:rsidP="000673CB">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The requested area for navigational warnings.</w:t>
            </w:r>
          </w:p>
        </w:tc>
      </w:tr>
      <w:tr w:rsidR="00520765" w14:paraId="3170F2A2" w14:textId="77777777" w:rsidTr="000673CB">
        <w:tc>
          <w:tcPr>
            <w:cnfStyle w:val="001000000000" w:firstRow="0" w:lastRow="0" w:firstColumn="1" w:lastColumn="0" w:oddVBand="0" w:evenVBand="0" w:oddHBand="0" w:evenHBand="0" w:firstRowFirstColumn="0" w:firstRowLastColumn="0" w:lastRowFirstColumn="0" w:lastRowLastColumn="0"/>
            <w:tcW w:w="2093" w:type="dxa"/>
          </w:tcPr>
          <w:p w14:paraId="3A4C75F9" w14:textId="77777777" w:rsidR="00520765" w:rsidRPr="00792A5F" w:rsidRDefault="00520765" w:rsidP="000673CB">
            <w:pPr>
              <w:pStyle w:val="BodyText"/>
              <w:rPr>
                <w:b w:val="0"/>
                <w:bCs w:val="0"/>
                <w:noProof/>
              </w:rPr>
            </w:pPr>
            <w:r>
              <w:rPr>
                <w:b w:val="0"/>
                <w:bCs w:val="0"/>
                <w:noProof/>
              </w:rPr>
              <w:t>sessionID</w:t>
            </w:r>
          </w:p>
        </w:tc>
        <w:tc>
          <w:tcPr>
            <w:tcW w:w="1417" w:type="dxa"/>
          </w:tcPr>
          <w:p w14:paraId="2256A3B1" w14:textId="77777777" w:rsidR="00520765" w:rsidRPr="00792A5F" w:rsidRDefault="00520765" w:rsidP="000673CB">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70D2915E" w14:textId="77777777" w:rsidR="00520765" w:rsidRPr="00792A5F" w:rsidRDefault="00520765" w:rsidP="000673CB">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 (optional)</w:t>
            </w:r>
          </w:p>
        </w:tc>
        <w:tc>
          <w:tcPr>
            <w:tcW w:w="4708" w:type="dxa"/>
          </w:tcPr>
          <w:p w14:paraId="591FBBB5" w14:textId="77777777" w:rsidR="00520765" w:rsidRPr="00792A5F" w:rsidRDefault="00520765" w:rsidP="000673CB">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r w:rsidR="00520765" w14:paraId="2289EF30" w14:textId="77777777" w:rsidTr="000673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55190F8F" w14:textId="77777777" w:rsidR="00520765" w:rsidRDefault="00520765" w:rsidP="000673CB">
            <w:pPr>
              <w:pStyle w:val="BodyText"/>
              <w:rPr>
                <w:b w:val="0"/>
                <w:bCs w:val="0"/>
                <w:noProof/>
              </w:rPr>
            </w:pPr>
            <w:r>
              <w:rPr>
                <w:b w:val="0"/>
                <w:bCs w:val="0"/>
                <w:noProof/>
              </w:rPr>
              <w:t>nw_nm_messages</w:t>
            </w:r>
          </w:p>
        </w:tc>
        <w:tc>
          <w:tcPr>
            <w:tcW w:w="1417" w:type="dxa"/>
          </w:tcPr>
          <w:p w14:paraId="3D76D191" w14:textId="77777777" w:rsidR="00520765" w:rsidRDefault="00520765" w:rsidP="000673CB">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125281BE" w14:textId="77777777" w:rsidR="00520765" w:rsidRDefault="00520765" w:rsidP="000673CB">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0248163E" w14:textId="77777777" w:rsidR="00520765" w:rsidRDefault="00520765" w:rsidP="000673CB">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A S-124 Dataset with navigational warning, encoded in gml.</w:t>
            </w:r>
          </w:p>
        </w:tc>
      </w:tr>
    </w:tbl>
    <w:p w14:paraId="13EBBD11" w14:textId="77777777" w:rsidR="00520765" w:rsidRDefault="00520765" w:rsidP="00520765">
      <w:pPr>
        <w:pStyle w:val="BodyText"/>
        <w:rPr>
          <w:noProof/>
        </w:rPr>
      </w:pPr>
    </w:p>
    <w:p w14:paraId="6D2F86B3" w14:textId="6B527863" w:rsidR="00841856" w:rsidRPr="00520765" w:rsidRDefault="00520765" w:rsidP="00841856">
      <w:pPr>
        <w:pStyle w:val="BodyText"/>
        <w:rPr>
          <w:b/>
          <w:noProof/>
        </w:rPr>
      </w:pPr>
      <w:r w:rsidRPr="00520765">
        <w:rPr>
          <w:b/>
          <w:noProof/>
        </w:rPr>
        <w:t>OPERATION GetMetaData</w:t>
      </w:r>
    </w:p>
    <w:p w14:paraId="55E151B2" w14:textId="7C165747" w:rsidR="00520765" w:rsidRDefault="00520765" w:rsidP="00520765">
      <w:pPr>
        <w:pStyle w:val="BodyText"/>
        <w:jc w:val="center"/>
        <w:rPr>
          <w:noProof/>
        </w:rPr>
      </w:pPr>
      <w:r>
        <w:rPr>
          <w:noProof/>
        </w:rPr>
        <w:drawing>
          <wp:inline distT="0" distB="0" distL="0" distR="0" wp14:anchorId="001F2CCB" wp14:editId="47060DBC">
            <wp:extent cx="2421802" cy="1606465"/>
            <wp:effectExtent l="0" t="0" r="0" b="0"/>
            <wp:docPr id="21" name="Grafik 21"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14"/>
                    <a:srcRect l="56157" t="33882" r="4257" b="36196"/>
                    <a:stretch/>
                  </pic:blipFill>
                  <pic:spPr bwMode="auto">
                    <a:xfrm>
                      <a:off x="0" y="0"/>
                      <a:ext cx="2422705" cy="1607064"/>
                    </a:xfrm>
                    <a:prstGeom prst="rect">
                      <a:avLst/>
                    </a:prstGeom>
                    <a:ln>
                      <a:noFill/>
                    </a:ln>
                    <a:extLst>
                      <a:ext uri="{53640926-AAD7-44D8-BBD7-CCE9431645EC}">
                        <a14:shadowObscured xmlns:a14="http://schemas.microsoft.com/office/drawing/2010/main"/>
                      </a:ext>
                    </a:extLst>
                  </pic:spPr>
                </pic:pic>
              </a:graphicData>
            </a:graphic>
          </wp:inline>
        </w:drawing>
      </w:r>
    </w:p>
    <w:p w14:paraId="663F246B" w14:textId="3EDA94DA" w:rsidR="00520765" w:rsidRDefault="00520765" w:rsidP="00841856">
      <w:pPr>
        <w:pStyle w:val="BodyText"/>
        <w:rPr>
          <w:noProof/>
        </w:rPr>
      </w:pPr>
      <w:r w:rsidRPr="00520765">
        <w:rPr>
          <w:b/>
          <w:noProof/>
        </w:rPr>
        <w:t>OPERATION FUNCTIONALITY</w:t>
      </w:r>
      <w:r>
        <w:rPr>
          <w:noProof/>
        </w:rPr>
        <w:t xml:space="preserve">: Provides Metadata for the service. </w:t>
      </w:r>
    </w:p>
    <w:p w14:paraId="608857D4" w14:textId="77777777" w:rsidR="008652B9" w:rsidRDefault="008652B9" w:rsidP="008652B9">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64"/>
        <w:gridCol w:w="1611"/>
        <w:gridCol w:w="1518"/>
        <w:gridCol w:w="4435"/>
      </w:tblGrid>
      <w:tr w:rsidR="008652B9" w14:paraId="60B77071" w14:textId="77777777" w:rsidTr="000673C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699E4E9C" w14:textId="77777777" w:rsidR="008652B9" w:rsidRDefault="008652B9" w:rsidP="000673CB">
            <w:pPr>
              <w:pStyle w:val="BodyText"/>
              <w:rPr>
                <w:b w:val="0"/>
                <w:bCs w:val="0"/>
                <w:noProof/>
              </w:rPr>
            </w:pPr>
            <w:r>
              <w:rPr>
                <w:b w:val="0"/>
                <w:bCs w:val="0"/>
                <w:noProof/>
              </w:rPr>
              <w:t>Parameter</w:t>
            </w:r>
          </w:p>
        </w:tc>
        <w:tc>
          <w:tcPr>
            <w:tcW w:w="1417" w:type="dxa"/>
          </w:tcPr>
          <w:p w14:paraId="793A9467" w14:textId="77777777" w:rsidR="008652B9" w:rsidRDefault="008652B9" w:rsidP="000673CB">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575C3C89" w14:textId="77777777" w:rsidR="008652B9" w:rsidRDefault="008652B9" w:rsidP="000673CB">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088B3D33" w14:textId="77777777" w:rsidR="008652B9" w:rsidRDefault="008652B9" w:rsidP="000673CB">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652B9" w14:paraId="19615C9C" w14:textId="77777777" w:rsidTr="000673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7861919D" w14:textId="77777777" w:rsidR="008652B9" w:rsidRPr="00792A5F" w:rsidRDefault="008652B9" w:rsidP="000673CB">
            <w:pPr>
              <w:pStyle w:val="BodyText"/>
              <w:rPr>
                <w:b w:val="0"/>
                <w:bCs w:val="0"/>
                <w:noProof/>
              </w:rPr>
            </w:pPr>
            <w:r w:rsidRPr="00792A5F">
              <w:rPr>
                <w:b w:val="0"/>
                <w:bCs w:val="0"/>
                <w:noProof/>
              </w:rPr>
              <w:t>sessionID</w:t>
            </w:r>
          </w:p>
        </w:tc>
        <w:tc>
          <w:tcPr>
            <w:tcW w:w="1417" w:type="dxa"/>
          </w:tcPr>
          <w:p w14:paraId="521C29D2" w14:textId="77777777" w:rsidR="008652B9" w:rsidRPr="00792A5F" w:rsidRDefault="008652B9" w:rsidP="000673CB">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1D7D4BD0" w14:textId="77777777" w:rsidR="008652B9" w:rsidRPr="00792A5F" w:rsidRDefault="008652B9" w:rsidP="000673CB">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6AD21AF7" w14:textId="77777777" w:rsidR="008652B9" w:rsidRPr="00792A5F" w:rsidRDefault="008652B9" w:rsidP="000673CB">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8652B9" w14:paraId="36402869" w14:textId="77777777" w:rsidTr="000673CB">
        <w:tc>
          <w:tcPr>
            <w:cnfStyle w:val="001000000000" w:firstRow="0" w:lastRow="0" w:firstColumn="1" w:lastColumn="0" w:oddVBand="0" w:evenVBand="0" w:oddHBand="0" w:evenHBand="0" w:firstRowFirstColumn="0" w:firstRowLastColumn="0" w:lastRowFirstColumn="0" w:lastRowLastColumn="0"/>
            <w:tcW w:w="2093" w:type="dxa"/>
          </w:tcPr>
          <w:p w14:paraId="472A8F48" w14:textId="710D5173" w:rsidR="008652B9" w:rsidRPr="00792A5F" w:rsidRDefault="008652B9" w:rsidP="000673CB">
            <w:pPr>
              <w:pStyle w:val="BodyText"/>
              <w:rPr>
                <w:b w:val="0"/>
                <w:bCs w:val="0"/>
                <w:noProof/>
              </w:rPr>
            </w:pPr>
            <w:r>
              <w:rPr>
                <w:b w:val="0"/>
                <w:bCs w:val="0"/>
                <w:noProof/>
              </w:rPr>
              <w:t>serviceMetaData</w:t>
            </w:r>
          </w:p>
        </w:tc>
        <w:tc>
          <w:tcPr>
            <w:tcW w:w="1417" w:type="dxa"/>
          </w:tcPr>
          <w:p w14:paraId="46C7A95A" w14:textId="77777777" w:rsidR="008652B9" w:rsidRPr="00792A5F" w:rsidRDefault="008652B9" w:rsidP="000673CB">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74B8C69F" w14:textId="77777777" w:rsidR="008652B9" w:rsidRPr="00792A5F" w:rsidRDefault="008652B9" w:rsidP="000673CB">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6FA8B54C" w14:textId="340C7036" w:rsidR="008652B9" w:rsidRPr="00792A5F" w:rsidRDefault="008652B9" w:rsidP="000673CB">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 xml:space="preserve">An S-100 (Part 14) metadata instance for the navigational warnings service encoded in gml. </w:t>
            </w:r>
          </w:p>
        </w:tc>
      </w:tr>
    </w:tbl>
    <w:p w14:paraId="628D4476" w14:textId="77777777" w:rsidR="008652B9" w:rsidRDefault="008652B9" w:rsidP="00841856">
      <w:pPr>
        <w:pStyle w:val="BodyText"/>
        <w:rPr>
          <w:noProof/>
        </w:rPr>
      </w:pPr>
    </w:p>
    <w:p w14:paraId="24B63BE0" w14:textId="7260361A" w:rsidR="000131AC" w:rsidRDefault="00CF1C91" w:rsidP="00CF1C91">
      <w:pPr>
        <w:pStyle w:val="Heading2"/>
        <w:rPr>
          <w:noProof/>
        </w:rPr>
      </w:pPr>
      <w:r>
        <w:rPr>
          <w:noProof/>
        </w:rPr>
        <w:t>SERVICE DYNAMIC BEHAVIOUR</w:t>
      </w:r>
    </w:p>
    <w:p w14:paraId="13E0FC94" w14:textId="0927B5CB" w:rsidR="000C6404" w:rsidRPr="000C6404" w:rsidRDefault="00CF1C91" w:rsidP="000C6404">
      <w:pPr>
        <w:pStyle w:val="BodyText"/>
        <w:rPr>
          <w:lang w:val="en-US" w:eastAsia="ja-JP"/>
        </w:rPr>
      </w:pPr>
      <w:r>
        <w:t xml:space="preserve">The service dynamic behaviour is described in section </w:t>
      </w:r>
      <w:r>
        <w:fldChar w:fldCharType="begin"/>
      </w:r>
      <w:r>
        <w:instrText xml:space="preserve"> REF _Ref16792989 \r \h </w:instrText>
      </w:r>
      <w:r>
        <w:fldChar w:fldCharType="separate"/>
      </w:r>
      <w:r w:rsidR="000673CB">
        <w:t>5.3</w:t>
      </w:r>
      <w:r>
        <w:fldChar w:fldCharType="end"/>
      </w:r>
      <w:r>
        <w:t xml:space="preserve"> (“Communication Patterns”).</w:t>
      </w:r>
    </w:p>
    <w:p w14:paraId="13DB3D47" w14:textId="77777777" w:rsidR="00E41AA6" w:rsidRDefault="00E41AA6" w:rsidP="00285313">
      <w:pPr>
        <w:pStyle w:val="Heading1"/>
      </w:pPr>
      <w:r>
        <w:t>REFERENCES</w:t>
      </w:r>
    </w:p>
    <w:p w14:paraId="5CCA7E05" w14:textId="77777777" w:rsidR="00E41AA6" w:rsidRDefault="00E41AA6" w:rsidP="00E41AA6">
      <w:pPr>
        <w:pStyle w:val="Bibliography"/>
      </w:pPr>
    </w:p>
    <w:p w14:paraId="20DBBBA1" w14:textId="77777777" w:rsidR="00684298" w:rsidRPr="00684298" w:rsidRDefault="00E41AA6" w:rsidP="00684298">
      <w:pPr>
        <w:pStyle w:val="Bibliography"/>
        <w:rPr>
          <w:rFonts w:ascii="Calibri" w:hAnsi="Calibri"/>
          <w:szCs w:val="24"/>
        </w:rPr>
      </w:pPr>
      <w:r>
        <w:fldChar w:fldCharType="begin"/>
      </w:r>
      <w:r>
        <w:instrText xml:space="preserve"> ADDIN ZOTERO_BIBL {"uncited":[],"omitted":[],"custom":[]} CSL_BIBLIOGRAPHY </w:instrText>
      </w:r>
      <w:r>
        <w:fldChar w:fldCharType="separate"/>
      </w:r>
      <w:r w:rsidR="00684298" w:rsidRPr="00684298">
        <w:rPr>
          <w:rFonts w:ascii="Calibri" w:hAnsi="Calibri"/>
          <w:szCs w:val="24"/>
        </w:rPr>
        <w:t>[1]</w:t>
      </w:r>
      <w:r w:rsidR="00684298" w:rsidRPr="00684298">
        <w:rPr>
          <w:rFonts w:ascii="Calibri" w:hAnsi="Calibri"/>
          <w:szCs w:val="24"/>
        </w:rPr>
        <w:tab/>
        <w:t>F. Bekkadal, ‘Emerging maritime communications technologies’, Oct. 2009.</w:t>
      </w:r>
    </w:p>
    <w:p w14:paraId="28B9E176" w14:textId="77777777" w:rsidR="00684298" w:rsidRPr="00684298" w:rsidRDefault="00684298" w:rsidP="00684298">
      <w:pPr>
        <w:pStyle w:val="Bibliography"/>
        <w:rPr>
          <w:rFonts w:ascii="Calibri" w:hAnsi="Calibri"/>
          <w:szCs w:val="24"/>
        </w:rPr>
      </w:pPr>
      <w:r w:rsidRPr="00684298">
        <w:rPr>
          <w:rFonts w:ascii="Calibri" w:hAnsi="Calibri"/>
          <w:szCs w:val="24"/>
        </w:rPr>
        <w:t>[2]</w:t>
      </w:r>
      <w:r w:rsidRPr="00684298">
        <w:rPr>
          <w:rFonts w:ascii="Calibri" w:hAnsi="Calibri"/>
          <w:szCs w:val="24"/>
        </w:rPr>
        <w:tab/>
        <w:t>‘Resolution A.705(17) - Promulgation of Maritime Safety Information’. International Maritime Organization, 06-Nov-1991.</w:t>
      </w:r>
    </w:p>
    <w:p w14:paraId="7E0B3AC3" w14:textId="77777777" w:rsidR="00684298" w:rsidRPr="00684298" w:rsidRDefault="00684298" w:rsidP="00684298">
      <w:pPr>
        <w:pStyle w:val="Bibliography"/>
        <w:rPr>
          <w:rFonts w:ascii="Calibri" w:hAnsi="Calibri"/>
          <w:szCs w:val="24"/>
        </w:rPr>
      </w:pPr>
      <w:r w:rsidRPr="00684298">
        <w:rPr>
          <w:rFonts w:ascii="Calibri" w:hAnsi="Calibri"/>
          <w:szCs w:val="24"/>
        </w:rPr>
        <w:t>[3]</w:t>
      </w:r>
      <w:r w:rsidRPr="00684298">
        <w:rPr>
          <w:rFonts w:ascii="Calibri" w:hAnsi="Calibri"/>
          <w:szCs w:val="24"/>
        </w:rPr>
        <w:tab/>
        <w:t>‘Manual on Maritime Safety Information (MSI)’. International Hydrographic Organization, Jul-2009.</w:t>
      </w:r>
    </w:p>
    <w:p w14:paraId="0FDA5550" w14:textId="77777777" w:rsidR="00684298" w:rsidRPr="00684298" w:rsidRDefault="00684298" w:rsidP="00684298">
      <w:pPr>
        <w:pStyle w:val="Bibliography"/>
        <w:rPr>
          <w:rFonts w:ascii="Calibri" w:hAnsi="Calibri"/>
          <w:szCs w:val="24"/>
        </w:rPr>
      </w:pPr>
      <w:r w:rsidRPr="00684298">
        <w:rPr>
          <w:rFonts w:ascii="Calibri" w:hAnsi="Calibri"/>
          <w:szCs w:val="24"/>
        </w:rPr>
        <w:t>[4]</w:t>
      </w:r>
      <w:r w:rsidRPr="00684298">
        <w:rPr>
          <w:rFonts w:ascii="Calibri" w:hAnsi="Calibri"/>
          <w:szCs w:val="24"/>
        </w:rPr>
        <w:tab/>
        <w:t xml:space="preserve">G. Maral, J.-J. de Ridder, B. G. Evans, and M. Richharia, ‘Low earth orbit satellite systems for communications’, </w:t>
      </w:r>
      <w:r w:rsidRPr="00684298">
        <w:rPr>
          <w:rFonts w:ascii="Calibri" w:hAnsi="Calibri"/>
          <w:i/>
          <w:iCs/>
          <w:szCs w:val="24"/>
        </w:rPr>
        <w:t>International Journal of Satellite Communications</w:t>
      </w:r>
      <w:r w:rsidRPr="00684298">
        <w:rPr>
          <w:rFonts w:ascii="Calibri" w:hAnsi="Calibri"/>
          <w:szCs w:val="24"/>
        </w:rPr>
        <w:t>, 01-Jul-1991. [Online]. Available: https://onlinelibrary.wiley.com/doi/abs/10.1002/sat.4600090403. [Accessed: 08-Jul-2019].</w:t>
      </w:r>
    </w:p>
    <w:p w14:paraId="460784F3" w14:textId="77777777" w:rsidR="00684298" w:rsidRPr="00684298" w:rsidRDefault="00684298" w:rsidP="00684298">
      <w:pPr>
        <w:pStyle w:val="Bibliography"/>
        <w:rPr>
          <w:rFonts w:ascii="Calibri" w:hAnsi="Calibri"/>
          <w:szCs w:val="24"/>
        </w:rPr>
      </w:pPr>
      <w:r w:rsidRPr="00684298">
        <w:rPr>
          <w:rFonts w:ascii="Calibri" w:hAnsi="Calibri"/>
          <w:szCs w:val="24"/>
        </w:rPr>
        <w:t>[5]</w:t>
      </w:r>
      <w:r w:rsidRPr="00684298">
        <w:rPr>
          <w:rFonts w:ascii="Calibri" w:hAnsi="Calibri"/>
          <w:szCs w:val="24"/>
        </w:rPr>
        <w:tab/>
        <w:t xml:space="preserve">H. Tsunoda, K. Ohta, N. Kato, and Y. Nemoto, ‘Supporting IP/LEO Satellite Networks by Handover-Independent IP Mobility Management’, </w:t>
      </w:r>
      <w:r w:rsidRPr="00684298">
        <w:rPr>
          <w:rFonts w:ascii="Calibri" w:hAnsi="Calibri"/>
          <w:i/>
          <w:iCs/>
          <w:szCs w:val="24"/>
        </w:rPr>
        <w:t>Sel. Areas Commun. IEEE J. On</w:t>
      </w:r>
      <w:r w:rsidRPr="00684298">
        <w:rPr>
          <w:rFonts w:ascii="Calibri" w:hAnsi="Calibri"/>
          <w:szCs w:val="24"/>
        </w:rPr>
        <w:t>, vol. 22, pp. 300–307, Mar. 2004.</w:t>
      </w:r>
    </w:p>
    <w:p w14:paraId="29844288" w14:textId="77777777" w:rsidR="00684298" w:rsidRPr="00684298" w:rsidRDefault="00684298" w:rsidP="00684298">
      <w:pPr>
        <w:pStyle w:val="Bibliography"/>
        <w:rPr>
          <w:rFonts w:ascii="Calibri" w:hAnsi="Calibri"/>
          <w:szCs w:val="24"/>
        </w:rPr>
      </w:pPr>
      <w:r w:rsidRPr="00684298">
        <w:rPr>
          <w:rFonts w:ascii="Calibri" w:hAnsi="Calibri"/>
          <w:szCs w:val="24"/>
        </w:rPr>
        <w:t>[6]</w:t>
      </w:r>
      <w:r w:rsidRPr="00684298">
        <w:rPr>
          <w:rFonts w:ascii="Calibri" w:hAnsi="Calibri"/>
          <w:szCs w:val="24"/>
        </w:rPr>
        <w:tab/>
        <w:t xml:space="preserve">I. Maglogiannis, S. Hadjiefthymiades, N. Panagiotarakis, and P. Hartigan, ‘Next generation maritime communication systems’, </w:t>
      </w:r>
      <w:r w:rsidRPr="00684298">
        <w:rPr>
          <w:rFonts w:ascii="Calibri" w:hAnsi="Calibri"/>
          <w:i/>
          <w:iCs/>
          <w:szCs w:val="24"/>
        </w:rPr>
        <w:t>IJMC</w:t>
      </w:r>
      <w:r w:rsidRPr="00684298">
        <w:rPr>
          <w:rFonts w:ascii="Calibri" w:hAnsi="Calibri"/>
          <w:szCs w:val="24"/>
        </w:rPr>
        <w:t>, vol. 3, pp. 231–248, Jan. 2005.</w:t>
      </w:r>
    </w:p>
    <w:p w14:paraId="51F93698" w14:textId="77777777" w:rsidR="00684298" w:rsidRPr="00684298" w:rsidRDefault="00684298" w:rsidP="00684298">
      <w:pPr>
        <w:pStyle w:val="Bibliography"/>
        <w:rPr>
          <w:rFonts w:ascii="Calibri" w:hAnsi="Calibri"/>
          <w:szCs w:val="24"/>
        </w:rPr>
      </w:pPr>
      <w:r w:rsidRPr="00684298">
        <w:rPr>
          <w:rFonts w:ascii="Calibri" w:hAnsi="Calibri"/>
          <w:szCs w:val="24"/>
        </w:rPr>
        <w:t>[7]</w:t>
      </w:r>
      <w:r w:rsidRPr="00684298">
        <w:rPr>
          <w:rFonts w:ascii="Calibri" w:hAnsi="Calibri"/>
          <w:szCs w:val="24"/>
        </w:rPr>
        <w:tab/>
        <w:t xml:space="preserve">‘Inmarsat receives IMO approval for Fleet Safety’, </w:t>
      </w:r>
      <w:r w:rsidRPr="00684298">
        <w:rPr>
          <w:rFonts w:ascii="Calibri" w:hAnsi="Calibri"/>
          <w:i/>
          <w:iCs/>
          <w:szCs w:val="24"/>
        </w:rPr>
        <w:t>Inmarsat</w:t>
      </w:r>
      <w:r w:rsidRPr="00684298">
        <w:rPr>
          <w:rFonts w:ascii="Calibri" w:hAnsi="Calibri"/>
          <w:szCs w:val="24"/>
        </w:rPr>
        <w:t>. .</w:t>
      </w:r>
    </w:p>
    <w:p w14:paraId="60B0413B" w14:textId="77777777" w:rsidR="00684298" w:rsidRPr="00684298" w:rsidRDefault="00684298" w:rsidP="00684298">
      <w:pPr>
        <w:pStyle w:val="Bibliography"/>
        <w:rPr>
          <w:rFonts w:ascii="Calibri" w:hAnsi="Calibri"/>
          <w:szCs w:val="24"/>
        </w:rPr>
      </w:pPr>
      <w:r w:rsidRPr="00684298">
        <w:rPr>
          <w:rFonts w:ascii="Calibri" w:hAnsi="Calibri"/>
          <w:szCs w:val="24"/>
        </w:rPr>
        <w:t>[8]</w:t>
      </w:r>
      <w:r w:rsidRPr="00684298">
        <w:rPr>
          <w:rFonts w:ascii="Calibri" w:hAnsi="Calibri"/>
          <w:szCs w:val="24"/>
        </w:rPr>
        <w:tab/>
        <w:t xml:space="preserve">K. Korcz, ‘GMDSS as a Data Communication Network for E-Navigation’, </w:t>
      </w:r>
      <w:r w:rsidRPr="00684298">
        <w:rPr>
          <w:rFonts w:ascii="Calibri" w:hAnsi="Calibri"/>
          <w:i/>
          <w:iCs/>
          <w:szCs w:val="24"/>
        </w:rPr>
        <w:t>TransNav Int. J. Mar. Navig. Saf. Od Sea Transp.</w:t>
      </w:r>
      <w:r w:rsidRPr="00684298">
        <w:rPr>
          <w:rFonts w:ascii="Calibri" w:hAnsi="Calibri"/>
          <w:szCs w:val="24"/>
        </w:rPr>
        <w:t>, vol. 2, no. 3, Sep. 2008.</w:t>
      </w:r>
    </w:p>
    <w:p w14:paraId="64C3505E" w14:textId="77777777" w:rsidR="00684298" w:rsidRPr="00684298" w:rsidRDefault="00684298" w:rsidP="00684298">
      <w:pPr>
        <w:pStyle w:val="Bibliography"/>
        <w:rPr>
          <w:rFonts w:ascii="Calibri" w:hAnsi="Calibri"/>
          <w:szCs w:val="24"/>
        </w:rPr>
      </w:pPr>
      <w:r w:rsidRPr="00684298">
        <w:rPr>
          <w:rFonts w:ascii="Calibri" w:hAnsi="Calibri"/>
          <w:szCs w:val="24"/>
        </w:rPr>
        <w:t>[9]</w:t>
      </w:r>
      <w:r w:rsidRPr="00684298">
        <w:rPr>
          <w:rFonts w:ascii="Calibri" w:hAnsi="Calibri"/>
          <w:szCs w:val="24"/>
        </w:rPr>
        <w:tab/>
        <w:t xml:space="preserve">E. Tzannatos, ‘GMDSS Operability: The Operator-Equipment Interface’, </w:t>
      </w:r>
      <w:r w:rsidRPr="00684298">
        <w:rPr>
          <w:rFonts w:ascii="Calibri" w:hAnsi="Calibri"/>
          <w:i/>
          <w:iCs/>
          <w:szCs w:val="24"/>
        </w:rPr>
        <w:t>J. Navig.</w:t>
      </w:r>
      <w:r w:rsidRPr="00684298">
        <w:rPr>
          <w:rFonts w:ascii="Calibri" w:hAnsi="Calibri"/>
          <w:szCs w:val="24"/>
        </w:rPr>
        <w:t>, vol. 55, pp. 75–82, Jan. 2002.</w:t>
      </w:r>
    </w:p>
    <w:p w14:paraId="33EF217B" w14:textId="77777777" w:rsidR="00684298" w:rsidRPr="00684298" w:rsidRDefault="00684298" w:rsidP="00684298">
      <w:pPr>
        <w:pStyle w:val="Bibliography"/>
        <w:rPr>
          <w:rFonts w:ascii="Calibri" w:hAnsi="Calibri"/>
          <w:szCs w:val="24"/>
        </w:rPr>
      </w:pPr>
      <w:r w:rsidRPr="00684298">
        <w:rPr>
          <w:rFonts w:ascii="Calibri" w:hAnsi="Calibri"/>
          <w:szCs w:val="24"/>
        </w:rPr>
        <w:t>[10]</w:t>
      </w:r>
      <w:r w:rsidRPr="00684298">
        <w:rPr>
          <w:rFonts w:ascii="Calibri" w:hAnsi="Calibri"/>
          <w:szCs w:val="24"/>
        </w:rPr>
        <w:tab/>
        <w:t>‘THE S-100 UNIVERSAL HYDROGRAPHIC DATA MODEL’, 2017. [Online]. Available: http://s100.iho.int/S100/. [Accessed: 05-Sep-2019].</w:t>
      </w:r>
    </w:p>
    <w:p w14:paraId="77E444C5" w14:textId="77777777" w:rsidR="00684298" w:rsidRPr="00684298" w:rsidRDefault="00684298" w:rsidP="00684298">
      <w:pPr>
        <w:pStyle w:val="Bibliography"/>
        <w:rPr>
          <w:rFonts w:ascii="Calibri" w:hAnsi="Calibri"/>
          <w:szCs w:val="24"/>
        </w:rPr>
      </w:pPr>
      <w:r w:rsidRPr="00684298">
        <w:rPr>
          <w:rFonts w:ascii="Calibri" w:hAnsi="Calibri"/>
          <w:szCs w:val="24"/>
        </w:rPr>
        <w:t>[11]</w:t>
      </w:r>
      <w:r w:rsidRPr="00684298">
        <w:rPr>
          <w:rFonts w:ascii="Calibri" w:hAnsi="Calibri"/>
          <w:szCs w:val="24"/>
        </w:rPr>
        <w:tab/>
        <w:t>International Hydrographic Organization, ‘IHO Geospatial Standard For Navigational Warnings - Special Publication No. S-124 (Working Draft)’. 31-Oct-2018.</w:t>
      </w:r>
    </w:p>
    <w:p w14:paraId="0B2F38A6" w14:textId="77777777" w:rsidR="00684298" w:rsidRPr="00684298" w:rsidRDefault="00684298" w:rsidP="00684298">
      <w:pPr>
        <w:pStyle w:val="Bibliography"/>
        <w:rPr>
          <w:rFonts w:ascii="Calibri" w:hAnsi="Calibri"/>
          <w:szCs w:val="24"/>
        </w:rPr>
      </w:pPr>
      <w:r w:rsidRPr="00684298">
        <w:rPr>
          <w:rFonts w:ascii="Calibri" w:hAnsi="Calibri"/>
          <w:szCs w:val="24"/>
        </w:rPr>
        <w:t>[12]</w:t>
      </w:r>
      <w:r w:rsidRPr="00684298">
        <w:rPr>
          <w:rFonts w:ascii="Calibri" w:hAnsi="Calibri"/>
          <w:szCs w:val="24"/>
        </w:rPr>
        <w:tab/>
        <w:t xml:space="preserve">L. Jensen, ‘Challenges in Maritime Cyber-Resilience’, </w:t>
      </w:r>
      <w:r w:rsidRPr="00684298">
        <w:rPr>
          <w:rFonts w:ascii="Calibri" w:hAnsi="Calibri"/>
          <w:i/>
          <w:iCs/>
          <w:szCs w:val="24"/>
        </w:rPr>
        <w:t>Technol. Innov. Manag. Rev.</w:t>
      </w:r>
      <w:r w:rsidRPr="00684298">
        <w:rPr>
          <w:rFonts w:ascii="Calibri" w:hAnsi="Calibri"/>
          <w:szCs w:val="24"/>
        </w:rPr>
        <w:t>, vol. 5, pp. 35–39, Apr. 2015.</w:t>
      </w:r>
    </w:p>
    <w:p w14:paraId="2D9CEE2E" w14:textId="77777777" w:rsidR="00684298" w:rsidRPr="00684298" w:rsidRDefault="00684298" w:rsidP="00684298">
      <w:pPr>
        <w:pStyle w:val="Bibliography"/>
        <w:rPr>
          <w:rFonts w:ascii="Calibri" w:hAnsi="Calibri"/>
          <w:szCs w:val="24"/>
        </w:rPr>
      </w:pPr>
      <w:r w:rsidRPr="00684298">
        <w:rPr>
          <w:rFonts w:ascii="Calibri" w:hAnsi="Calibri"/>
          <w:szCs w:val="24"/>
        </w:rPr>
        <w:t>[13]</w:t>
      </w:r>
      <w:r w:rsidRPr="00684298">
        <w:rPr>
          <w:rFonts w:ascii="Calibri" w:hAnsi="Calibri"/>
          <w:szCs w:val="24"/>
        </w:rPr>
        <w:tab/>
        <w:t>Maritime Connectivity Platform, ‘MMS: Concepts, Design and Usages’. .</w:t>
      </w:r>
    </w:p>
    <w:p w14:paraId="1FC4E7A9" w14:textId="6E4703EF" w:rsidR="004D1D85" w:rsidRPr="00343CA9" w:rsidRDefault="00E41AA6" w:rsidP="00285313">
      <w:pPr>
        <w:pStyle w:val="BodyText"/>
        <w:rPr>
          <w:color w:val="4F81BD" w:themeColor="accent1"/>
        </w:rPr>
      </w:pPr>
      <w:r>
        <w:fldChar w:fldCharType="end"/>
      </w:r>
    </w:p>
    <w:sectPr w:rsidR="004D1D85" w:rsidRPr="00343CA9" w:rsidSect="0082480E">
      <w:headerReference w:type="even" r:id="rId22"/>
      <w:headerReference w:type="default" r:id="rId23"/>
      <w:footerReference w:type="default" r:id="rId24"/>
      <w:headerReference w:type="first" r:id="rId25"/>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F46FA8" w14:textId="77777777" w:rsidR="0082629A" w:rsidRDefault="0082629A" w:rsidP="00362CD9">
      <w:r>
        <w:separator/>
      </w:r>
    </w:p>
  </w:endnote>
  <w:endnote w:type="continuationSeparator" w:id="0">
    <w:p w14:paraId="507D6FBF" w14:textId="77777777" w:rsidR="0082629A" w:rsidRDefault="0082629A"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E0002A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lim">
    <w:altName w:val="굴림"/>
    <w:panose1 w:val="020B0600000101010101"/>
    <w:charset w:val="81"/>
    <w:family w:val="swiss"/>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F0EF88" w14:textId="2576C09F" w:rsidR="00684298" w:rsidRPr="00036B9E" w:rsidRDefault="00343CA9">
    <w:pPr>
      <w:pStyle w:val="Footer"/>
      <w:rPr>
        <w:rFonts w:ascii="Calibri" w:hAnsi="Calibri"/>
      </w:rPr>
    </w:pPr>
    <w:r w:rsidRPr="00343CA9">
      <w:rPr>
        <w:rFonts w:ascii="Calibri" w:hAnsi="Calibri"/>
        <w:sz w:val="20"/>
        <w:szCs w:val="20"/>
      </w:rPr>
      <w:t>Secure IP based communication for MSI (S-124)</w:t>
    </w:r>
    <w:r w:rsidR="00684298" w:rsidRPr="00036B9E">
      <w:rPr>
        <w:rFonts w:ascii="Calibri" w:hAnsi="Calibri"/>
      </w:rPr>
      <w:tab/>
    </w:r>
    <w:r w:rsidR="00684298" w:rsidRPr="00036B9E">
      <w:rPr>
        <w:rFonts w:ascii="Calibri" w:hAnsi="Calibri"/>
      </w:rPr>
      <w:fldChar w:fldCharType="begin"/>
    </w:r>
    <w:r w:rsidR="00684298" w:rsidRPr="00036B9E">
      <w:rPr>
        <w:rFonts w:ascii="Calibri" w:hAnsi="Calibri"/>
      </w:rPr>
      <w:instrText xml:space="preserve"> PAGE   \* MERGEFORMAT </w:instrText>
    </w:r>
    <w:r w:rsidR="00684298" w:rsidRPr="00036B9E">
      <w:rPr>
        <w:rFonts w:ascii="Calibri" w:hAnsi="Calibri"/>
      </w:rPr>
      <w:fldChar w:fldCharType="separate"/>
    </w:r>
    <w:r w:rsidR="00684298">
      <w:rPr>
        <w:rFonts w:ascii="Calibri" w:hAnsi="Calibri"/>
        <w:noProof/>
      </w:rPr>
      <w:t>5</w:t>
    </w:r>
    <w:r w:rsidR="00684298"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BA5304D" w14:textId="77777777" w:rsidR="0082629A" w:rsidRDefault="0082629A" w:rsidP="00362CD9">
      <w:r>
        <w:separator/>
      </w:r>
    </w:p>
  </w:footnote>
  <w:footnote w:type="continuationSeparator" w:id="0">
    <w:p w14:paraId="6B1CB443" w14:textId="77777777" w:rsidR="0082629A" w:rsidRDefault="0082629A" w:rsidP="00362CD9">
      <w:r>
        <w:continuationSeparator/>
      </w:r>
    </w:p>
  </w:footnote>
  <w:footnote w:id="1">
    <w:p w14:paraId="741FE09C" w14:textId="56CC54BF" w:rsidR="00684298" w:rsidRPr="00EA5A97" w:rsidRDefault="00684298">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13DFA22D" w14:textId="3BCF7A71" w:rsidR="00684298" w:rsidRPr="00037DF4" w:rsidRDefault="00684298">
      <w:pPr>
        <w:pStyle w:val="FootnoteText"/>
      </w:pPr>
      <w:r w:rsidRPr="00037DF4">
        <w:rPr>
          <w:rStyle w:val="FootnoteReference"/>
        </w:rPr>
        <w:footnoteRef/>
      </w:r>
      <w:r w:rsidRPr="00037DF4">
        <w:t xml:space="preserve"> </w:t>
      </w:r>
      <w:r w:rsidRPr="00037DF4">
        <w:rPr>
          <w:sz w:val="16"/>
          <w:szCs w:val="16"/>
        </w:rPr>
        <w:t>Leave open if uncertain</w:t>
      </w:r>
    </w:p>
  </w:footnote>
  <w:footnote w:id="3">
    <w:p w14:paraId="411644BF" w14:textId="77777777" w:rsidR="00684298" w:rsidRPr="00445F5D" w:rsidRDefault="00684298" w:rsidP="00E41AA6">
      <w:pPr>
        <w:pStyle w:val="FootnoteText"/>
        <w:rPr>
          <w:lang w:val="de-DE"/>
        </w:rPr>
      </w:pPr>
      <w:r>
        <w:rPr>
          <w:rStyle w:val="FootnoteReference"/>
        </w:rPr>
        <w:footnoteRef/>
      </w:r>
      <w:r>
        <w:t xml:space="preserve"> </w:t>
      </w:r>
      <w:hyperlink r:id="rId1" w:history="1">
        <w:r>
          <w:rPr>
            <w:rStyle w:val="Hyperlink"/>
          </w:rPr>
          <w:t>https://maritimeconnectivity.net/docs/MMS_Specification_0.8.3.pdf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2A8989" w14:textId="3F824E7C" w:rsidR="00684298" w:rsidRDefault="00343CA9">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1" type="#_x0000_t136" alt="" style="position:absolute;margin-left:0;margin-top:0;width:623.85pt;height:65.65pt;rotation:315;z-index:-25165516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C8CA51" w14:textId="06DE82EB" w:rsidR="00684298" w:rsidRDefault="00684298" w:rsidP="007A395D">
    <w:pPr>
      <w:pStyle w:val="Header"/>
      <w:jc w:val="right"/>
    </w:pPr>
    <w:r>
      <w:rPr>
        <w:noProof/>
        <w:lang w:val="en-US" w:eastAsia="en-US"/>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343CA9">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0" type="#_x0000_t136" alt="" style="position:absolute;left:0;text-align:left;margin-left:0;margin-top:0;width:623.85pt;height:65.65pt;rotation:315;z-index:-25165312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786C0F" w14:textId="7F704D96" w:rsidR="00684298" w:rsidRDefault="00684298" w:rsidP="007A395D">
    <w:pPr>
      <w:pStyle w:val="Header"/>
      <w:jc w:val="center"/>
    </w:pPr>
    <w:r>
      <w:rPr>
        <w:noProof/>
        <w:lang w:val="en-US" w:eastAsia="en-US"/>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684298" w:rsidRDefault="00684298" w:rsidP="007A395D">
    <w:pPr>
      <w:pStyle w:val="Header"/>
      <w:jc w:val="center"/>
    </w:pPr>
  </w:p>
  <w:p w14:paraId="43F3C4F1" w14:textId="7155479D" w:rsidR="00684298" w:rsidRDefault="00343CA9"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alt="" style="position:absolute;left:0;text-align:left;margin-left:0;margin-top:0;width:623.85pt;height:65.65pt;rotation:315;z-index:-25165721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1082DED"/>
    <w:multiLevelType w:val="multilevel"/>
    <w:tmpl w:val="18361880"/>
    <w:lvl w:ilvl="0">
      <w:start w:val="1"/>
      <w:numFmt w:val="decimal"/>
      <w:pStyle w:val="Head1"/>
      <w:lvlText w:val="%1"/>
      <w:lvlJc w:val="left"/>
      <w:pPr>
        <w:ind w:left="360" w:hanging="360"/>
      </w:pPr>
      <w:rPr>
        <w:rFonts w:hint="default"/>
      </w:rPr>
    </w:lvl>
    <w:lvl w:ilvl="1">
      <w:start w:val="1"/>
      <w:numFmt w:val="decimal"/>
      <w:pStyle w:val="Head2"/>
      <w:lvlText w:val="%1.%2"/>
      <w:lvlJc w:val="left"/>
      <w:pPr>
        <w:ind w:left="360" w:hanging="360"/>
      </w:pPr>
      <w:rPr>
        <w:rFonts w:hint="default"/>
      </w:rPr>
    </w:lvl>
    <w:lvl w:ilvl="2">
      <w:start w:val="1"/>
      <w:numFmt w:val="decimal"/>
      <w:pStyle w:val="Head3"/>
      <w:lvlText w:val="%1.%2.%3"/>
      <w:lvlJc w:val="left"/>
      <w:pPr>
        <w:ind w:left="360" w:hanging="360"/>
      </w:pPr>
      <w:rPr>
        <w:rFonts w:hint="default"/>
      </w:rPr>
    </w:lvl>
    <w:lvl w:ilvl="3">
      <w:start w:val="1"/>
      <w:numFmt w:val="decimal"/>
      <w:pStyle w:val="Head4"/>
      <w:lvlText w:val="%1.%2.%3.%4"/>
      <w:lvlJc w:val="left"/>
      <w:pPr>
        <w:ind w:left="36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1FBB11D1"/>
    <w:multiLevelType w:val="hybridMultilevel"/>
    <w:tmpl w:val="422E5A4A"/>
    <w:lvl w:ilvl="0" w:tplc="0409000F">
      <w:start w:val="1"/>
      <w:numFmt w:val="decimal"/>
      <w:lvlText w:val="%1."/>
      <w:lvlJc w:val="left"/>
      <w:pPr>
        <w:ind w:left="36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9"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4"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4561501A"/>
    <w:multiLevelType w:val="hybridMultilevel"/>
    <w:tmpl w:val="6B9CA212"/>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7"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0"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1"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3"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4"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6"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6EA5715C"/>
    <w:multiLevelType w:val="hybridMultilevel"/>
    <w:tmpl w:val="57F605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29" w15:restartNumberingAfterBreak="0">
    <w:nsid w:val="7B8450BC"/>
    <w:multiLevelType w:val="hybridMultilevel"/>
    <w:tmpl w:val="20D017B2"/>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num w:numId="1">
    <w:abstractNumId w:val="1"/>
  </w:num>
  <w:num w:numId="2">
    <w:abstractNumId w:val="0"/>
  </w:num>
  <w:num w:numId="3">
    <w:abstractNumId w:val="9"/>
  </w:num>
  <w:num w:numId="4">
    <w:abstractNumId w:val="24"/>
  </w:num>
  <w:num w:numId="5">
    <w:abstractNumId w:val="18"/>
  </w:num>
  <w:num w:numId="6">
    <w:abstractNumId w:val="5"/>
  </w:num>
  <w:num w:numId="7">
    <w:abstractNumId w:val="26"/>
  </w:num>
  <w:num w:numId="8">
    <w:abstractNumId w:val="12"/>
  </w:num>
  <w:num w:numId="9">
    <w:abstractNumId w:val="10"/>
  </w:num>
  <w:num w:numId="10">
    <w:abstractNumId w:val="20"/>
  </w:num>
  <w:num w:numId="11">
    <w:abstractNumId w:val="19"/>
  </w:num>
  <w:num w:numId="12">
    <w:abstractNumId w:val="17"/>
  </w:num>
  <w:num w:numId="13">
    <w:abstractNumId w:val="25"/>
  </w:num>
  <w:num w:numId="14">
    <w:abstractNumId w:val="6"/>
  </w:num>
  <w:num w:numId="15">
    <w:abstractNumId w:val="28"/>
  </w:num>
  <w:num w:numId="16">
    <w:abstractNumId w:val="15"/>
  </w:num>
  <w:num w:numId="17">
    <w:abstractNumId w:val="7"/>
  </w:num>
  <w:num w:numId="18">
    <w:abstractNumId w:val="22"/>
  </w:num>
  <w:num w:numId="19">
    <w:abstractNumId w:val="15"/>
  </w:num>
  <w:num w:numId="20">
    <w:abstractNumId w:val="15"/>
  </w:num>
  <w:num w:numId="21">
    <w:abstractNumId w:val="15"/>
  </w:num>
  <w:num w:numId="22">
    <w:abstractNumId w:val="15"/>
  </w:num>
  <w:num w:numId="23">
    <w:abstractNumId w:val="23"/>
  </w:num>
  <w:num w:numId="24">
    <w:abstractNumId w:val="4"/>
  </w:num>
  <w:num w:numId="25">
    <w:abstractNumId w:val="4"/>
  </w:num>
  <w:num w:numId="26">
    <w:abstractNumId w:val="4"/>
  </w:num>
  <w:num w:numId="27">
    <w:abstractNumId w:val="11"/>
  </w:num>
  <w:num w:numId="28">
    <w:abstractNumId w:val="11"/>
  </w:num>
  <w:num w:numId="29">
    <w:abstractNumId w:val="11"/>
  </w:num>
  <w:num w:numId="30">
    <w:abstractNumId w:val="11"/>
  </w:num>
  <w:num w:numId="31">
    <w:abstractNumId w:val="11"/>
  </w:num>
  <w:num w:numId="32">
    <w:abstractNumId w:val="11"/>
  </w:num>
  <w:num w:numId="33">
    <w:abstractNumId w:val="21"/>
  </w:num>
  <w:num w:numId="34">
    <w:abstractNumId w:val="21"/>
  </w:num>
  <w:num w:numId="35">
    <w:abstractNumId w:val="21"/>
  </w:num>
  <w:num w:numId="36">
    <w:abstractNumId w:val="13"/>
  </w:num>
  <w:num w:numId="37">
    <w:abstractNumId w:val="6"/>
  </w:num>
  <w:num w:numId="38">
    <w:abstractNumId w:val="17"/>
  </w:num>
  <w:num w:numId="3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
  </w:num>
  <w:num w:numId="4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
  </w:num>
  <w:num w:numId="44">
    <w:abstractNumId w:val="14"/>
  </w:num>
  <w:num w:numId="4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8"/>
  </w:num>
  <w:num w:numId="48">
    <w:abstractNumId w:val="2"/>
  </w:num>
  <w:num w:numId="49">
    <w:abstractNumId w:val="2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49D8"/>
    <w:rsid w:val="00006E4C"/>
    <w:rsid w:val="000131AC"/>
    <w:rsid w:val="00017B83"/>
    <w:rsid w:val="00036B9E"/>
    <w:rsid w:val="00037DF4"/>
    <w:rsid w:val="0004700E"/>
    <w:rsid w:val="000673CB"/>
    <w:rsid w:val="00070C13"/>
    <w:rsid w:val="000715C9"/>
    <w:rsid w:val="00084F33"/>
    <w:rsid w:val="0009085E"/>
    <w:rsid w:val="00094391"/>
    <w:rsid w:val="000A0361"/>
    <w:rsid w:val="000A77A7"/>
    <w:rsid w:val="000B1707"/>
    <w:rsid w:val="000C1B3E"/>
    <w:rsid w:val="000C349E"/>
    <w:rsid w:val="000C6404"/>
    <w:rsid w:val="000F528C"/>
    <w:rsid w:val="000F52C7"/>
    <w:rsid w:val="00110AE7"/>
    <w:rsid w:val="00111698"/>
    <w:rsid w:val="00177F4D"/>
    <w:rsid w:val="00180DDA"/>
    <w:rsid w:val="001811C2"/>
    <w:rsid w:val="0019661D"/>
    <w:rsid w:val="001B2A2D"/>
    <w:rsid w:val="001B737D"/>
    <w:rsid w:val="001C44A3"/>
    <w:rsid w:val="001C52E7"/>
    <w:rsid w:val="001E0E15"/>
    <w:rsid w:val="001E31B2"/>
    <w:rsid w:val="001F528A"/>
    <w:rsid w:val="001F704E"/>
    <w:rsid w:val="00201722"/>
    <w:rsid w:val="002125B0"/>
    <w:rsid w:val="00243228"/>
    <w:rsid w:val="00251483"/>
    <w:rsid w:val="00255CAA"/>
    <w:rsid w:val="00264305"/>
    <w:rsid w:val="00285313"/>
    <w:rsid w:val="00286136"/>
    <w:rsid w:val="002A0346"/>
    <w:rsid w:val="002A4487"/>
    <w:rsid w:val="002B49E9"/>
    <w:rsid w:val="002C632E"/>
    <w:rsid w:val="002D3E8B"/>
    <w:rsid w:val="002D4575"/>
    <w:rsid w:val="002D5C0C"/>
    <w:rsid w:val="002E007D"/>
    <w:rsid w:val="002E03D1"/>
    <w:rsid w:val="002E6B74"/>
    <w:rsid w:val="002E6FCA"/>
    <w:rsid w:val="00343CA9"/>
    <w:rsid w:val="00356CD0"/>
    <w:rsid w:val="00357A2D"/>
    <w:rsid w:val="00362799"/>
    <w:rsid w:val="00362CD9"/>
    <w:rsid w:val="003761CA"/>
    <w:rsid w:val="00380DAF"/>
    <w:rsid w:val="00381512"/>
    <w:rsid w:val="003972CE"/>
    <w:rsid w:val="003B28F5"/>
    <w:rsid w:val="003B7B7D"/>
    <w:rsid w:val="003C54CB"/>
    <w:rsid w:val="003C7A2A"/>
    <w:rsid w:val="003D2DC1"/>
    <w:rsid w:val="003D69D0"/>
    <w:rsid w:val="003F2918"/>
    <w:rsid w:val="003F430E"/>
    <w:rsid w:val="00402AAB"/>
    <w:rsid w:val="0041088C"/>
    <w:rsid w:val="00412DD0"/>
    <w:rsid w:val="00420A38"/>
    <w:rsid w:val="00431B19"/>
    <w:rsid w:val="004442A8"/>
    <w:rsid w:val="004661AD"/>
    <w:rsid w:val="004A06C6"/>
    <w:rsid w:val="004A5F6E"/>
    <w:rsid w:val="004A6C1D"/>
    <w:rsid w:val="004D1D85"/>
    <w:rsid w:val="004D3C3A"/>
    <w:rsid w:val="004E1CD1"/>
    <w:rsid w:val="004E4C15"/>
    <w:rsid w:val="004F7EFC"/>
    <w:rsid w:val="005107EB"/>
    <w:rsid w:val="00514ABB"/>
    <w:rsid w:val="00520765"/>
    <w:rsid w:val="00521345"/>
    <w:rsid w:val="00526DF0"/>
    <w:rsid w:val="00545CC4"/>
    <w:rsid w:val="00551FFF"/>
    <w:rsid w:val="005607A2"/>
    <w:rsid w:val="00567986"/>
    <w:rsid w:val="0057198B"/>
    <w:rsid w:val="00573CFE"/>
    <w:rsid w:val="0058580F"/>
    <w:rsid w:val="0059039D"/>
    <w:rsid w:val="005969F2"/>
    <w:rsid w:val="00597FAE"/>
    <w:rsid w:val="005B32A3"/>
    <w:rsid w:val="005C0D44"/>
    <w:rsid w:val="005C566C"/>
    <w:rsid w:val="005C7E69"/>
    <w:rsid w:val="005D7CF0"/>
    <w:rsid w:val="005E1D4D"/>
    <w:rsid w:val="005E262D"/>
    <w:rsid w:val="005F23D3"/>
    <w:rsid w:val="005F2ADC"/>
    <w:rsid w:val="005F7E20"/>
    <w:rsid w:val="006009BB"/>
    <w:rsid w:val="00605E43"/>
    <w:rsid w:val="006153BB"/>
    <w:rsid w:val="00616EE7"/>
    <w:rsid w:val="0062398A"/>
    <w:rsid w:val="006252A4"/>
    <w:rsid w:val="00632C70"/>
    <w:rsid w:val="00664FAB"/>
    <w:rsid w:val="006652C3"/>
    <w:rsid w:val="00667C61"/>
    <w:rsid w:val="00677CF6"/>
    <w:rsid w:val="00684298"/>
    <w:rsid w:val="00691FD0"/>
    <w:rsid w:val="00692148"/>
    <w:rsid w:val="006A1A1E"/>
    <w:rsid w:val="006A4860"/>
    <w:rsid w:val="006A7FE9"/>
    <w:rsid w:val="006C5948"/>
    <w:rsid w:val="006D7BF2"/>
    <w:rsid w:val="006F2A74"/>
    <w:rsid w:val="007000D4"/>
    <w:rsid w:val="007118F5"/>
    <w:rsid w:val="00712AA4"/>
    <w:rsid w:val="007146C4"/>
    <w:rsid w:val="00714BB7"/>
    <w:rsid w:val="00721AA1"/>
    <w:rsid w:val="00724B67"/>
    <w:rsid w:val="007547F8"/>
    <w:rsid w:val="00762D7F"/>
    <w:rsid w:val="00765622"/>
    <w:rsid w:val="00770B6C"/>
    <w:rsid w:val="00783FEA"/>
    <w:rsid w:val="00792A5F"/>
    <w:rsid w:val="007A395D"/>
    <w:rsid w:val="007B6BD5"/>
    <w:rsid w:val="007C346C"/>
    <w:rsid w:val="007E6242"/>
    <w:rsid w:val="007E6479"/>
    <w:rsid w:val="0080294B"/>
    <w:rsid w:val="0082245F"/>
    <w:rsid w:val="0082480E"/>
    <w:rsid w:val="0082629A"/>
    <w:rsid w:val="00841856"/>
    <w:rsid w:val="00841C69"/>
    <w:rsid w:val="00850293"/>
    <w:rsid w:val="00851373"/>
    <w:rsid w:val="00851BA6"/>
    <w:rsid w:val="0085654D"/>
    <w:rsid w:val="00861160"/>
    <w:rsid w:val="008652B9"/>
    <w:rsid w:val="0086654F"/>
    <w:rsid w:val="008A356F"/>
    <w:rsid w:val="008A4653"/>
    <w:rsid w:val="008A4717"/>
    <w:rsid w:val="008A50CC"/>
    <w:rsid w:val="008B3040"/>
    <w:rsid w:val="008D1694"/>
    <w:rsid w:val="008D79CB"/>
    <w:rsid w:val="008F07BC"/>
    <w:rsid w:val="009028E5"/>
    <w:rsid w:val="0092692B"/>
    <w:rsid w:val="00930561"/>
    <w:rsid w:val="00943E9C"/>
    <w:rsid w:val="00953F4D"/>
    <w:rsid w:val="00956A90"/>
    <w:rsid w:val="00960BB8"/>
    <w:rsid w:val="00964F5C"/>
    <w:rsid w:val="00973B57"/>
    <w:rsid w:val="00975900"/>
    <w:rsid w:val="009826B4"/>
    <w:rsid w:val="009831C0"/>
    <w:rsid w:val="0099161D"/>
    <w:rsid w:val="009F32EF"/>
    <w:rsid w:val="00A00997"/>
    <w:rsid w:val="00A0389B"/>
    <w:rsid w:val="00A33A3C"/>
    <w:rsid w:val="00A446C9"/>
    <w:rsid w:val="00A62966"/>
    <w:rsid w:val="00A635D6"/>
    <w:rsid w:val="00A65676"/>
    <w:rsid w:val="00A65E57"/>
    <w:rsid w:val="00A8553A"/>
    <w:rsid w:val="00A86727"/>
    <w:rsid w:val="00A93AED"/>
    <w:rsid w:val="00AC201F"/>
    <w:rsid w:val="00AE1319"/>
    <w:rsid w:val="00AE34BB"/>
    <w:rsid w:val="00B226F2"/>
    <w:rsid w:val="00B274DF"/>
    <w:rsid w:val="00B432D3"/>
    <w:rsid w:val="00B56BDF"/>
    <w:rsid w:val="00B65812"/>
    <w:rsid w:val="00B85CD6"/>
    <w:rsid w:val="00B90A27"/>
    <w:rsid w:val="00B9554D"/>
    <w:rsid w:val="00BB2B9F"/>
    <w:rsid w:val="00BB7D9E"/>
    <w:rsid w:val="00BC2334"/>
    <w:rsid w:val="00BD3CB8"/>
    <w:rsid w:val="00BD4E6F"/>
    <w:rsid w:val="00BF06AF"/>
    <w:rsid w:val="00BF32F0"/>
    <w:rsid w:val="00BF4DCE"/>
    <w:rsid w:val="00C05CE5"/>
    <w:rsid w:val="00C1264D"/>
    <w:rsid w:val="00C15C35"/>
    <w:rsid w:val="00C404A9"/>
    <w:rsid w:val="00C6171E"/>
    <w:rsid w:val="00C716E5"/>
    <w:rsid w:val="00CA4651"/>
    <w:rsid w:val="00CA6F2C"/>
    <w:rsid w:val="00CD2F5C"/>
    <w:rsid w:val="00CD6A13"/>
    <w:rsid w:val="00CE5360"/>
    <w:rsid w:val="00CF1871"/>
    <w:rsid w:val="00CF1C91"/>
    <w:rsid w:val="00D019CE"/>
    <w:rsid w:val="00D100D8"/>
    <w:rsid w:val="00D1133E"/>
    <w:rsid w:val="00D17A34"/>
    <w:rsid w:val="00D26628"/>
    <w:rsid w:val="00D332B3"/>
    <w:rsid w:val="00D55207"/>
    <w:rsid w:val="00D81801"/>
    <w:rsid w:val="00D92B45"/>
    <w:rsid w:val="00D95962"/>
    <w:rsid w:val="00DA4FC3"/>
    <w:rsid w:val="00DC389B"/>
    <w:rsid w:val="00DE2FEE"/>
    <w:rsid w:val="00DF473F"/>
    <w:rsid w:val="00E00BE9"/>
    <w:rsid w:val="00E22A11"/>
    <w:rsid w:val="00E31E5C"/>
    <w:rsid w:val="00E32A29"/>
    <w:rsid w:val="00E41AA6"/>
    <w:rsid w:val="00E44DD2"/>
    <w:rsid w:val="00E558C3"/>
    <w:rsid w:val="00E55927"/>
    <w:rsid w:val="00E60540"/>
    <w:rsid w:val="00E912A6"/>
    <w:rsid w:val="00EA4844"/>
    <w:rsid w:val="00EA4D9C"/>
    <w:rsid w:val="00EA5A97"/>
    <w:rsid w:val="00EB0362"/>
    <w:rsid w:val="00EB75EE"/>
    <w:rsid w:val="00EE3CC5"/>
    <w:rsid w:val="00EE4C1D"/>
    <w:rsid w:val="00EF3685"/>
    <w:rsid w:val="00F04350"/>
    <w:rsid w:val="00F133DB"/>
    <w:rsid w:val="00F14789"/>
    <w:rsid w:val="00F159EB"/>
    <w:rsid w:val="00F15F46"/>
    <w:rsid w:val="00F25BF4"/>
    <w:rsid w:val="00F267DB"/>
    <w:rsid w:val="00F340C3"/>
    <w:rsid w:val="00F3554E"/>
    <w:rsid w:val="00F46F6F"/>
    <w:rsid w:val="00F60608"/>
    <w:rsid w:val="00F62217"/>
    <w:rsid w:val="00F91166"/>
    <w:rsid w:val="00FB17A9"/>
    <w:rsid w:val="00FB527C"/>
    <w:rsid w:val="00FB6F75"/>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9E109077-73E5-4E78-92ED-05B86D3599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285313"/>
    <w:pPr>
      <w:spacing w:after="120"/>
      <w:jc w:val="both"/>
    </w:pPr>
    <w:rPr>
      <w:rFonts w:ascii="Calibri" w:hAnsi="Calibri"/>
    </w:rPr>
  </w:style>
  <w:style w:type="character" w:customStyle="1" w:styleId="BodyTextChar">
    <w:name w:val="Body Text Char"/>
    <w:link w:val="BodyText"/>
    <w:rsid w:val="00285313"/>
    <w:rPr>
      <w:rFonts w:cs="Calibri"/>
      <w:sz w:val="22"/>
      <w:szCs w:val="22"/>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rsid w:val="008D1694"/>
    <w:rPr>
      <w:rFonts w:ascii="Arial" w:hAnsi="Arial"/>
      <w:sz w:val="16"/>
    </w:rPr>
  </w:style>
  <w:style w:type="paragraph" w:styleId="FootnoteText">
    <w:name w:val="footnote text"/>
    <w:basedOn w:val="Normal"/>
    <w:link w:val="FootnoteTextChar"/>
    <w:rsid w:val="00243228"/>
    <w:rPr>
      <w:sz w:val="20"/>
      <w:szCs w:val="20"/>
    </w:rPr>
  </w:style>
  <w:style w:type="character" w:customStyle="1" w:styleId="FootnoteTextChar">
    <w:name w:val="Footnote Text Char"/>
    <w:link w:val="FootnoteText"/>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3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unhideWhenUsed/>
    <w:rsid w:val="00EA5A97"/>
    <w:rPr>
      <w:sz w:val="20"/>
      <w:szCs w:val="20"/>
    </w:rPr>
  </w:style>
  <w:style w:type="character" w:customStyle="1" w:styleId="CommentTextChar">
    <w:name w:val="Comment Text Char"/>
    <w:basedOn w:val="DefaultParagraphFont"/>
    <w:link w:val="CommentText"/>
    <w:uiPriority w:val="99"/>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Bibliography">
    <w:name w:val="Bibliography"/>
    <w:basedOn w:val="Normal"/>
    <w:next w:val="Normal"/>
    <w:uiPriority w:val="37"/>
    <w:unhideWhenUsed/>
    <w:rsid w:val="00E41AA6"/>
    <w:pPr>
      <w:tabs>
        <w:tab w:val="left" w:pos="504"/>
      </w:tabs>
      <w:ind w:left="504" w:hanging="504"/>
    </w:pPr>
  </w:style>
  <w:style w:type="paragraph" w:customStyle="1" w:styleId="Head1">
    <w:name w:val="Head1"/>
    <w:basedOn w:val="Heading1"/>
    <w:next w:val="Para"/>
    <w:autoRedefine/>
    <w:qFormat/>
    <w:rsid w:val="00E41AA6"/>
    <w:pPr>
      <w:keepLines/>
      <w:numPr>
        <w:numId w:val="48"/>
      </w:numPr>
      <w:spacing w:before="220" w:after="80"/>
      <w:jc w:val="both"/>
    </w:pPr>
    <w:rPr>
      <w:rFonts w:ascii="Arial" w:eastAsia="Times New Roman" w:hAnsi="Arial" w:cs="Arial"/>
      <w:bCs/>
      <w:caps w:val="0"/>
      <w:color w:val="auto"/>
      <w:kern w:val="0"/>
      <w:sz w:val="28"/>
      <w:szCs w:val="20"/>
      <w:lang w:val="en-US" w:eastAsia="en-US"/>
    </w:rPr>
  </w:style>
  <w:style w:type="paragraph" w:customStyle="1" w:styleId="Head2">
    <w:name w:val="Head2"/>
    <w:basedOn w:val="Heading2"/>
    <w:next w:val="Para"/>
    <w:autoRedefine/>
    <w:qFormat/>
    <w:rsid w:val="00E41AA6"/>
    <w:pPr>
      <w:keepNext/>
      <w:keepLines/>
      <w:numPr>
        <w:numId w:val="48"/>
      </w:numPr>
      <w:spacing w:before="180" w:after="80"/>
      <w:ind w:left="480" w:hanging="480"/>
      <w:jc w:val="both"/>
    </w:pPr>
    <w:rPr>
      <w:rFonts w:ascii="Arial" w:eastAsia="Times New Roman" w:hAnsi="Arial" w:cs="Arial"/>
      <w:bCs/>
      <w:color w:val="auto"/>
      <w:sz w:val="26"/>
      <w:szCs w:val="20"/>
      <w:lang w:val="en-US" w:eastAsia="en-US"/>
    </w:rPr>
  </w:style>
  <w:style w:type="paragraph" w:customStyle="1" w:styleId="Head3">
    <w:name w:val="Head3"/>
    <w:next w:val="Para"/>
    <w:autoRedefine/>
    <w:qFormat/>
    <w:rsid w:val="00E41AA6"/>
    <w:pPr>
      <w:keepNext/>
      <w:numPr>
        <w:ilvl w:val="2"/>
        <w:numId w:val="48"/>
      </w:numPr>
      <w:spacing w:before="120" w:after="40"/>
      <w:ind w:left="600" w:hanging="600"/>
    </w:pPr>
    <w:rPr>
      <w:rFonts w:ascii="Arial" w:eastAsia="Times New Roman" w:hAnsi="Arial" w:cs="Arial"/>
      <w:b/>
      <w:sz w:val="18"/>
      <w:lang w:val="en-US" w:eastAsia="en-US"/>
    </w:rPr>
  </w:style>
  <w:style w:type="paragraph" w:customStyle="1" w:styleId="Head4">
    <w:name w:val="Head4"/>
    <w:autoRedefine/>
    <w:qFormat/>
    <w:rsid w:val="00E41AA6"/>
    <w:pPr>
      <w:keepNext/>
      <w:numPr>
        <w:ilvl w:val="3"/>
        <w:numId w:val="48"/>
      </w:numPr>
      <w:spacing w:before="60" w:after="140"/>
      <w:ind w:left="720" w:hanging="720"/>
    </w:pPr>
    <w:rPr>
      <w:rFonts w:ascii="Arial" w:eastAsia="Times New Roman" w:hAnsi="Arial" w:cs="Arial"/>
      <w:i/>
      <w:sz w:val="24"/>
      <w:lang w:val="en-US" w:eastAsia="en-US"/>
    </w:rPr>
  </w:style>
  <w:style w:type="paragraph" w:customStyle="1" w:styleId="Para">
    <w:name w:val="Para"/>
    <w:autoRedefine/>
    <w:rsid w:val="00E41AA6"/>
    <w:pPr>
      <w:spacing w:line="264" w:lineRule="auto"/>
      <w:jc w:val="both"/>
    </w:pPr>
    <w:rPr>
      <w:rFonts w:ascii="Times New Roman" w:eastAsia="Cambria" w:hAnsi="Times New Roman"/>
      <w:color w:val="3D3D3D"/>
      <w:lang w:val="en-US" w:eastAsia="en-US"/>
    </w:rPr>
  </w:style>
  <w:style w:type="paragraph" w:customStyle="1" w:styleId="ReferenceHead">
    <w:name w:val="ReferenceHead"/>
    <w:autoRedefine/>
    <w:rsid w:val="00E41AA6"/>
    <w:pPr>
      <w:spacing w:before="200" w:after="40"/>
    </w:pPr>
    <w:rPr>
      <w:rFonts w:ascii="Arial" w:eastAsia="Cambria" w:hAnsi="Arial" w:cs="Arial"/>
      <w:b/>
      <w:sz w:val="22"/>
      <w:szCs w:val="22"/>
      <w:lang w:val="en-US" w:eastAsia="en-US"/>
    </w:rPr>
  </w:style>
  <w:style w:type="paragraph" w:styleId="Quote">
    <w:name w:val="Quote"/>
    <w:basedOn w:val="Normal"/>
    <w:next w:val="Normal"/>
    <w:link w:val="QuoteChar"/>
    <w:uiPriority w:val="29"/>
    <w:qFormat/>
    <w:rsid w:val="00E41AA6"/>
    <w:pPr>
      <w:spacing w:before="200" w:after="160"/>
      <w:ind w:left="864" w:right="864"/>
      <w:jc w:val="center"/>
    </w:pPr>
    <w:rPr>
      <w:rFonts w:ascii="Cambria" w:eastAsia="MS Mincho" w:hAnsi="Cambria" w:cs="Times New Roman"/>
      <w:i/>
      <w:iCs/>
      <w:color w:val="404040" w:themeColor="text1" w:themeTint="BF"/>
      <w:sz w:val="24"/>
      <w:szCs w:val="24"/>
      <w:lang w:val="en-US" w:eastAsia="ja-JP"/>
    </w:rPr>
  </w:style>
  <w:style w:type="character" w:customStyle="1" w:styleId="QuoteChar">
    <w:name w:val="Quote Char"/>
    <w:basedOn w:val="DefaultParagraphFont"/>
    <w:link w:val="Quote"/>
    <w:uiPriority w:val="29"/>
    <w:rsid w:val="00E41AA6"/>
    <w:rPr>
      <w:rFonts w:ascii="Cambria" w:eastAsia="MS Mincho" w:hAnsi="Cambria"/>
      <w:i/>
      <w:iCs/>
      <w:color w:val="404040" w:themeColor="text1" w:themeTint="BF"/>
      <w:sz w:val="24"/>
      <w:szCs w:val="24"/>
      <w:lang w:val="en-US" w:eastAsia="ja-JP"/>
    </w:rPr>
  </w:style>
  <w:style w:type="paragraph" w:styleId="Caption">
    <w:name w:val="caption"/>
    <w:basedOn w:val="Normal"/>
    <w:next w:val="Normal"/>
    <w:uiPriority w:val="35"/>
    <w:unhideWhenUsed/>
    <w:qFormat/>
    <w:rsid w:val="00E41AA6"/>
    <w:pPr>
      <w:spacing w:after="200"/>
    </w:pPr>
    <w:rPr>
      <w:rFonts w:ascii="Cambria" w:eastAsia="MS Mincho" w:hAnsi="Cambria" w:cs="Times New Roman"/>
      <w:i/>
      <w:iCs/>
      <w:color w:val="1F497D" w:themeColor="text2"/>
      <w:sz w:val="18"/>
      <w:szCs w:val="18"/>
      <w:lang w:val="en-US" w:eastAsia="ja-JP"/>
    </w:rPr>
  </w:style>
  <w:style w:type="character" w:styleId="SubtleReference">
    <w:name w:val="Subtle Reference"/>
    <w:basedOn w:val="DefaultParagraphFont"/>
    <w:uiPriority w:val="31"/>
    <w:qFormat/>
    <w:rsid w:val="00E41AA6"/>
    <w:rPr>
      <w:smallCaps/>
      <w:color w:val="5A5A5A" w:themeColor="text1" w:themeTint="A5"/>
    </w:rPr>
  </w:style>
  <w:style w:type="character" w:styleId="IntenseEmphasis">
    <w:name w:val="Intense Emphasis"/>
    <w:basedOn w:val="DefaultParagraphFont"/>
    <w:uiPriority w:val="21"/>
    <w:qFormat/>
    <w:rsid w:val="00E41AA6"/>
    <w:rPr>
      <w:i/>
      <w:iCs/>
      <w:color w:val="4F81BD" w:themeColor="accent1"/>
    </w:rPr>
  </w:style>
  <w:style w:type="paragraph" w:customStyle="1" w:styleId="Tablecomment">
    <w:name w:val="Table_comment"/>
    <w:basedOn w:val="Normal"/>
    <w:qFormat/>
    <w:rsid w:val="00CE5360"/>
    <w:pPr>
      <w:ind w:left="108" w:right="108"/>
    </w:pPr>
    <w:rPr>
      <w:rFonts w:asciiTheme="minorHAnsi" w:eastAsiaTheme="minorHAnsi" w:hAnsiTheme="minorHAnsi" w:cstheme="minorBidi"/>
      <w:i/>
      <w:color w:val="191919" w:themeColor="text1" w:themeTint="E6"/>
      <w:sz w:val="20"/>
      <w:lang w:eastAsia="en-US"/>
    </w:rPr>
  </w:style>
  <w:style w:type="paragraph" w:customStyle="1" w:styleId="TableHeader">
    <w:name w:val="Table_Header"/>
    <w:basedOn w:val="Normal"/>
    <w:next w:val="Normal"/>
    <w:qFormat/>
    <w:rsid w:val="00CE5360"/>
    <w:pPr>
      <w:ind w:left="108" w:right="108"/>
    </w:pPr>
    <w:rPr>
      <w:rFonts w:asciiTheme="minorHAnsi" w:eastAsiaTheme="minorHAnsi" w:hAnsiTheme="minorHAnsi" w:cstheme="minorBidi"/>
      <w:b/>
      <w:bCs/>
      <w:color w:val="000000" w:themeColor="text1"/>
      <w:sz w:val="24"/>
      <w:lang w:eastAsia="en-US"/>
    </w:rPr>
  </w:style>
  <w:style w:type="table" w:styleId="GridTable1Light-Accent3">
    <w:name w:val="Grid Table 1 Light Accent 3"/>
    <w:basedOn w:val="TableNormal"/>
    <w:uiPriority w:val="46"/>
    <w:rsid w:val="009F32EF"/>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ListTable3-Accent3">
    <w:name w:val="List Table 3 Accent 3"/>
    <w:basedOn w:val="TableNormal"/>
    <w:uiPriority w:val="48"/>
    <w:rsid w:val="00792A5F"/>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paragraph" w:styleId="NormalWeb">
    <w:name w:val="Normal (Web)"/>
    <w:basedOn w:val="Normal"/>
    <w:uiPriority w:val="99"/>
    <w:semiHidden/>
    <w:unhideWhenUsed/>
    <w:rsid w:val="00094391"/>
    <w:pPr>
      <w:spacing w:before="100" w:beforeAutospacing="1" w:after="100" w:afterAutospacing="1"/>
    </w:pPr>
    <w:rPr>
      <w:rFonts w:ascii="Gulim" w:eastAsia="Gulim" w:hAnsi="Gulim" w:cs="Gulim"/>
      <w:sz w:val="24"/>
      <w:szCs w:val="24"/>
      <w:lang w:val="en-US"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1.xml"/><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maritimeconnectivity.net/docs/MMS_Specification_0.8.3.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5.png"/></Relationships>
</file>

<file path=word/_rels/header3.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395E67-D13D-462A-9F71-E899F7B061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20</Pages>
  <Words>8906</Words>
  <Characters>50769</Characters>
  <Application>Microsoft Office Word</Application>
  <DocSecurity>0</DocSecurity>
  <Lines>423</Lines>
  <Paragraphs>119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59556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Kevin Gregory</cp:lastModifiedBy>
  <cp:revision>3</cp:revision>
  <cp:lastPrinted>2019-09-04T12:37:00Z</cp:lastPrinted>
  <dcterms:created xsi:type="dcterms:W3CDTF">2019-09-09T15:08:00Z</dcterms:created>
  <dcterms:modified xsi:type="dcterms:W3CDTF">2019-09-11T12:26:00Z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zotero-version="5.0.74"&gt;&lt;session id="JDL3pSSW"/&gt;&lt;style id="http://www.zotero.org/styles/ieee" locale="en-GB" hasBibliography="1" bibliographyStyleHasBeenSet="1"/&gt;&lt;prefs&gt;&lt;pref name="fieldType" value="Field"/&gt;&lt;pref name="automaticJour</vt:lpwstr>
  </property>
  <property fmtid="{D5CDD505-2E9C-101B-9397-08002B2CF9AE}" pid="3" name="ZOTERO_PREF_2">
    <vt:lpwstr>nalAbbreviations" value="true"/&gt;&lt;/prefs&gt;&lt;/data&gt;</vt:lpwstr>
  </property>
</Properties>
</file>